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jc w:val="center"/>
        <w:tblBorders>
          <w:top w:val="nil"/>
          <w:left w:val="nil"/>
          <w:bottom w:val="nil"/>
          <w:right w:val="nil"/>
          <w:insideH w:val="nil"/>
          <w:insideV w:val="nil"/>
        </w:tblBorders>
        <w:tblLayout w:type="fixed"/>
        <w:tblLook w:val="04A0" w:firstRow="1" w:lastRow="0" w:firstColumn="1" w:lastColumn="0" w:noHBand="0" w:noVBand="1"/>
      </w:tblPr>
      <w:tblGrid>
        <w:gridCol w:w="3402"/>
        <w:gridCol w:w="5670"/>
      </w:tblGrid>
      <w:tr w:rsidR="00920441" w14:paraId="01599E89" w14:textId="77777777">
        <w:trPr>
          <w:jc w:val="center"/>
        </w:trPr>
        <w:tc>
          <w:tcPr>
            <w:tcW w:w="3402" w:type="dxa"/>
          </w:tcPr>
          <w:p w14:paraId="46BB093D" w14:textId="19CCD755" w:rsidR="00920441" w:rsidRDefault="00ED2BF7">
            <w:pPr>
              <w:jc w:val="center"/>
            </w:pPr>
            <w:r>
              <w:rPr>
                <w:sz w:val="26"/>
              </w:rPr>
              <w:t>UBND TỈNH LẠNG SƠN</w:t>
            </w:r>
          </w:p>
          <w:p w14:paraId="105E4DCB" w14:textId="77777777" w:rsidR="00920441" w:rsidRDefault="00ED2BF7">
            <w:pPr>
              <w:jc w:val="center"/>
            </w:pPr>
            <w:r>
              <w:rPr>
                <w:b/>
                <w:sz w:val="26"/>
              </w:rPr>
              <w:t>SỞ TÀI CHÍNH</w:t>
            </w:r>
          </w:p>
          <w:p w14:paraId="0CDB160D" w14:textId="5362121A" w:rsidR="00920441" w:rsidRDefault="00920441" w:rsidP="000A6594"/>
        </w:tc>
        <w:tc>
          <w:tcPr>
            <w:tcW w:w="5669" w:type="dxa"/>
          </w:tcPr>
          <w:p w14:paraId="4BE9B821" w14:textId="77777777" w:rsidR="00920441" w:rsidRDefault="00ED2BF7">
            <w:pPr>
              <w:jc w:val="center"/>
            </w:pPr>
            <w:r>
              <w:rPr>
                <w:b/>
                <w:sz w:val="26"/>
              </w:rPr>
              <w:t>CỘNG HÒA XÃ HỘI CHỦ NGHĨA VIỆT NAM</w:t>
            </w:r>
          </w:p>
          <w:p w14:paraId="6049A7CC" w14:textId="77777777" w:rsidR="00920441" w:rsidRDefault="00ED2BF7">
            <w:pPr>
              <w:jc w:val="center"/>
            </w:pPr>
            <w:r>
              <w:rPr>
                <w:b/>
              </w:rPr>
              <w:t>Độc lập - Tự do - Hạnh phúc</w:t>
            </w:r>
          </w:p>
          <w:p w14:paraId="04B726D6" w14:textId="5F944B9E" w:rsidR="00920441" w:rsidRDefault="000A6594" w:rsidP="000A6594">
            <w:r>
              <w:rPr>
                <w:rFonts w:cs="Times New Roman"/>
                <w:noProof/>
                <w:sz w:val="24"/>
              </w:rPr>
              <mc:AlternateContent>
                <mc:Choice Requires="wps">
                  <w:drawing>
                    <wp:anchor distT="0" distB="0" distL="114300" distR="114300" simplePos="0" relativeHeight="251659264" behindDoc="0" locked="0" layoutInCell="1" allowOverlap="1" wp14:anchorId="1496F97C" wp14:editId="1BD69EE2">
                      <wp:simplePos x="0" y="0"/>
                      <wp:positionH relativeFrom="column">
                        <wp:posOffset>630555</wp:posOffset>
                      </wp:positionH>
                      <wp:positionV relativeFrom="paragraph">
                        <wp:posOffset>41910</wp:posOffset>
                      </wp:positionV>
                      <wp:extent cx="2254250" cy="0"/>
                      <wp:effectExtent l="11430" t="13970" r="10795" b="5080"/>
                      <wp:wrapNone/>
                      <wp:docPr id="201096710" name="Đường nối Thẳng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425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D237AE" id="Đường nối Thẳng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65pt,3.3pt" to="227.1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"/>
                  </w:pict>
                </mc:Fallback>
              </mc:AlternateContent>
            </w:r>
          </w:p>
        </w:tc>
      </w:tr>
      <w:tr w:rsidR="00920441" w14:paraId="7247DC59" w14:textId="77777777">
        <w:trPr>
          <w:jc w:val="center"/>
        </w:trPr>
        <w:tc>
          <w:tcPr>
            <w:tcW w:w="3402" w:type="dxa"/>
          </w:tcPr>
          <w:p w14:paraId="6623A97C" w14:textId="15F1C939" w:rsidR="00920441" w:rsidRDefault="00ED2BF7">
            <w:pPr>
              <w:jc w:val="center"/>
            </w:pPr>
            <w:r>
              <w:rPr>
                <w:sz w:val="26"/>
              </w:rPr>
              <w:t>Số:        /BC-STC</w:t>
            </w:r>
          </w:p>
          <w:p w14:paraId="0129F157" w14:textId="77777777" w:rsidR="00920441" w:rsidRDefault="00ED2BF7">
            <w:pPr>
              <w:jc w:val="center"/>
            </w:pPr>
            <w:r>
              <w:rPr>
                <w:b/>
                <w:sz w:val="26"/>
              </w:rPr>
              <w:t>DỰ THẢO</w:t>
            </w:r>
          </w:p>
        </w:tc>
        <w:tc>
          <w:tcPr>
            <w:tcW w:w="5669" w:type="dxa"/>
          </w:tcPr>
          <w:p w14:paraId="411C35C7" w14:textId="2C15E8E4" w:rsidR="00920441" w:rsidRDefault="00ED2BF7">
            <w:pPr>
              <w:jc w:val="center"/>
            </w:pPr>
            <w:r>
              <w:rPr>
                <w:i/>
              </w:rPr>
              <w:t>Lạng Sơn, ngày      tháng      năm 2026</w:t>
            </w:r>
          </w:p>
        </w:tc>
      </w:tr>
    </w:tbl>
    <w:p w14:paraId="49DD2B75" w14:textId="4EE634CF" w:rsidR="00920441" w:rsidRDefault="000A6594">
      <w:pPr>
        <w:spacing w:after="120" w:line="264" w:lineRule="auto"/>
        <w:ind w:firstLine="720"/>
        <w:jc w:val="both"/>
      </w:pPr>
      <w:r>
        <w:rPr>
          <w:rFonts w:cs="Times New Roman"/>
          <w:noProof/>
          <w:sz w:val="24"/>
        </w:rPr>
        <mc:AlternateContent>
          <mc:Choice Requires="wps">
            <w:drawing>
              <wp:anchor distT="0" distB="0" distL="114300" distR="114300" simplePos="0" relativeHeight="251657216" behindDoc="0" locked="0" layoutInCell="1" allowOverlap="1" wp14:anchorId="20D2BDEB" wp14:editId="055AAF5E">
                <wp:simplePos x="0" y="0"/>
                <wp:positionH relativeFrom="column">
                  <wp:posOffset>798830</wp:posOffset>
                </wp:positionH>
                <wp:positionV relativeFrom="paragraph">
                  <wp:posOffset>-542290</wp:posOffset>
                </wp:positionV>
                <wp:extent cx="453390" cy="0"/>
                <wp:effectExtent l="12065" t="13335" r="10795" b="5715"/>
                <wp:wrapNone/>
                <wp:docPr id="18052796" name="Đường nối Thẳng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33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9CA7DF" id="Đường nối Thẳng 1"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9pt,-42.7pt" to="98.6pt,-4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"/>
            </w:pict>
          </mc:Fallback>
        </mc:AlternateContent>
      </w:r>
    </w:p>
    <w:p w14:paraId="44D8FB59" w14:textId="44F20165" w:rsidR="00920441" w:rsidRDefault="00ED2BF7">
      <w:pPr>
        <w:spacing w:line="264" w:lineRule="auto"/>
        <w:jc w:val="center"/>
      </w:pPr>
      <w:r>
        <w:rPr>
          <w:b/>
        </w:rPr>
        <w:t>BÁO CÁO</w:t>
      </w:r>
    </w:p>
    <w:p w14:paraId="532F68FC" w14:textId="77777777" w:rsidR="00920441" w:rsidRPr="00B50A44" w:rsidRDefault="00ED2BF7" w:rsidP="00B50A44">
      <w:pPr>
        <w:jc w:val="center"/>
        <w:rPr>
          <w:spacing w:val="-6"/>
        </w:rPr>
      </w:pPr>
      <w:r w:rsidRPr="00B50A44">
        <w:rPr>
          <w:b/>
          <w:spacing w:val="-6"/>
        </w:rPr>
        <w:t>Đánh giá tình hình thực hiện Nghị quyết số 05/2018/NQ-HĐND ngày 20/7/2018 của Hội đồng nhân dân tỉnh quy định mức chi hỗ trợ đối với Ủy ban Mặt trận Tổ quốc Việt Nam cấp xã và Ban công tác Mặt trận ở khu dân cư thực hiện Cuộc vận động “Toàn dân đoàn kết xây dựng nông thôn mới, đô thị văn minh” trên địa bàn tỉnh Lạng Sơn và đề xuất nội dung Nghị quyết thay thế</w:t>
      </w:r>
    </w:p>
    <w:p w14:paraId="5CDB7BB7" w14:textId="627D4A17" w:rsidR="00920441" w:rsidRDefault="000A6594" w:rsidP="000A6594">
      <w:pPr>
        <w:spacing w:after="120" w:line="264" w:lineRule="auto"/>
      </w:pPr>
      <w:r>
        <w:rPr>
          <w:rFonts w:cs="Times New Roman"/>
          <w:noProof/>
          <w:sz w:val="24"/>
        </w:rPr>
        <mc:AlternateContent>
          <mc:Choice Requires="wps">
            <w:drawing>
              <wp:anchor distT="0" distB="0" distL="114300" distR="114300" simplePos="0" relativeHeight="251662336" behindDoc="0" locked="0" layoutInCell="1" allowOverlap="1" wp14:anchorId="4A9DDC2D" wp14:editId="60217C8E">
                <wp:simplePos x="0" y="0"/>
                <wp:positionH relativeFrom="column">
                  <wp:posOffset>2552700</wp:posOffset>
                </wp:positionH>
                <wp:positionV relativeFrom="paragraph">
                  <wp:posOffset>86360</wp:posOffset>
                </wp:positionV>
                <wp:extent cx="640080" cy="0"/>
                <wp:effectExtent l="7620" t="10160" r="9525" b="8890"/>
                <wp:wrapNone/>
                <wp:docPr id="1574677443" name="Đường nối Thẳng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8014CC" id="Đường nối Thẳng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1pt,6.8pt" to="251.4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"/>
            </w:pict>
          </mc:Fallback>
        </mc:AlternateContent>
      </w:r>
    </w:p>
    <w:p w14:paraId="6B25F218" w14:textId="42916790" w:rsidR="00920441" w:rsidRDefault="00ED2BF7">
      <w:pPr>
        <w:spacing w:after="120" w:line="264" w:lineRule="auto"/>
        <w:ind w:firstLine="720"/>
        <w:jc w:val="both"/>
      </w:pPr>
      <w:r>
        <w:t>Căn cứ Luật Ngân sách nhà nước số 89/2025/QH15;</w:t>
      </w:r>
    </w:p>
    <w:p w14:paraId="29C58206" w14:textId="77777777" w:rsidR="00920441" w:rsidRDefault="00ED2BF7">
      <w:pPr>
        <w:spacing w:after="120" w:line="264" w:lineRule="auto"/>
        <w:ind w:firstLine="720"/>
        <w:jc w:val="both"/>
      </w:pPr>
      <w:r>
        <w:t>Căn cứ Thông tư số 121/2017/TT-BTC ngày 15 tháng 11 năm 2017 của Bộ trưởng Bộ Tài chính quy định quản lý và sử dụng kinh phí thực hiện Cuộc vận động “Toàn dân đoàn kết xây dựng nông thôn mới, đô thị văn minh”;</w:t>
      </w:r>
    </w:p>
    <w:p w14:paraId="125A7D5B" w14:textId="77777777" w:rsidR="00920441" w:rsidRDefault="00ED2BF7">
      <w:pPr>
        <w:spacing w:after="120" w:line="264" w:lineRule="auto"/>
        <w:ind w:firstLine="720"/>
        <w:jc w:val="both"/>
      </w:pPr>
      <w:r>
        <w:t>Sở Tài chính báo cáo đánh giá tình hình thực hiện Nghị quyết số 05/2018/NQ-HĐND ngày 20/7/2018 của Hội đồng nhân dân (HĐND) tỉnh quy định mức chi hỗ trợ đối với Ủy ban Mặt trận Tổ quốc Việt Nam cấp xã và Ban công tác Mặt trận ở khu dân cư thực hiện Cuộc vận động “Toàn dân đoàn kết xây dựng nông thôn mới, đô thị văn minh” trên địa bàn tỉnh Lạng Sơn (sau đây gọi là Nghị quyết số 05/2018/NQ-HĐND) và đề xuất nội dung Nghị quyết thay thế như sau:</w:t>
      </w:r>
    </w:p>
    <w:p w14:paraId="3487D1AB" w14:textId="77777777" w:rsidR="00920441" w:rsidRDefault="00ED2BF7">
      <w:pPr>
        <w:keepNext/>
        <w:spacing w:before="120" w:line="264" w:lineRule="auto"/>
        <w:jc w:val="center"/>
      </w:pPr>
      <w:r>
        <w:rPr>
          <w:b/>
        </w:rPr>
        <w:t>Phần thứ nhất</w:t>
      </w:r>
    </w:p>
    <w:p w14:paraId="59835D25" w14:textId="77777777" w:rsidR="00920441" w:rsidRDefault="00ED2BF7">
      <w:pPr>
        <w:keepNext/>
        <w:spacing w:after="120" w:line="264" w:lineRule="auto"/>
        <w:jc w:val="center"/>
      </w:pPr>
      <w:r>
        <w:rPr>
          <w:b/>
        </w:rPr>
        <w:t>ĐÁNH GIÁ TÌNH HÌNH THỰC HIỆN NGHỊ QUYẾT SỐ 05/2018/NQ-HĐND</w:t>
      </w:r>
    </w:p>
    <w:p w14:paraId="1F992DFC" w14:textId="77777777" w:rsidR="00920441" w:rsidRDefault="00ED2BF7">
      <w:pPr>
        <w:keepNext/>
        <w:spacing w:after="120" w:line="264" w:lineRule="auto"/>
        <w:ind w:firstLine="720"/>
        <w:jc w:val="both"/>
      </w:pPr>
      <w:r>
        <w:rPr>
          <w:b/>
        </w:rPr>
        <w:t>I. Công tác lãnh đạo, chỉ đạo, triển khai thực hiện</w:t>
      </w:r>
    </w:p>
    <w:p w14:paraId="7DEEA003" w14:textId="77777777" w:rsidR="00316D7E" w:rsidRDefault="00316D7E">
      <w:pPr>
        <w:spacing w:after="120" w:line="264" w:lineRule="auto"/>
        <w:ind w:firstLine="720"/>
        <w:jc w:val="both"/>
      </w:pPr>
      <w:r w:rsidRPr="00316D7E">
        <w:t xml:space="preserve">Căn cứ Thông tư số 121/2017/TT-BTC ngày 15/11/2017 của Bộ Tài chính, trên cơ sở kế thừa quy định về mức kinh phí hỗ trợ thực hiện phong trào “Toàn dân đoàn kết xây dựng đời sống văn hóa” tại khoản 3 mục IV Nghị quyết số 16/2016/NQ-HĐND ngày 09/12/2016 của HĐND tỉnh, Sở Tài chính đã tham mưu UBND tỉnh trình HĐND tỉnh ban hành Nghị quyết số 05/2018/NQ-HĐND ngày 20/7/2018, có hiệu lực thi hành từ ngày 23/7/2018. Theo đó, mức hỗ trợ đối với Ủy ban Mặt trận Tổ quốc Việt Nam cấp xã là 20 triệu đồng/xã/năm; riêng xã thuộc vùng khó khăn, xã khu vực III được hỗ trợ 25 triệu đồng/xã/năm. Đối với Ban công tác Mặt trận ở khu dân cư có dưới 700 hộ dân, mức hỗ trợ là 05 triệu đồng/năm; cứ tăng thêm 200 hộ dân được hỗ trợ thêm 01 triệu đồng/năm; khu dân cư thuộc xã vùng khó khăn, xã khu vực III được hỗ trợ bổ </w:t>
      </w:r>
      <w:r w:rsidRPr="00316D7E">
        <w:lastRenderedPageBreak/>
        <w:t>sung 01 triệu đồng/năm. Kinh phí thực hiện do ngân sách tỉnh bảo đảm. Để triển khai thực hiện Nghị quyết, Sở Tài chính đã tham mưu UBND tỉnh ban hành Công văn số 839/UBND-KTTH ngày 04/8/2018 về việc tổ chức thực hiện Nghị quyết số 05/2018/NQ-HĐND, làm cơ sở cho các cơ quan, đơn vị, địa phương triển khai thực hiện thống nhất trên địa bàn tỉnh.</w:t>
      </w:r>
    </w:p>
    <w:p w14:paraId="72E363D7" w14:textId="7BD03783" w:rsidR="00920441" w:rsidRDefault="00ED2BF7">
      <w:pPr>
        <w:spacing w:after="120" w:line="264" w:lineRule="auto"/>
        <w:ind w:firstLine="720"/>
        <w:jc w:val="both"/>
      </w:pPr>
      <w:r>
        <w:t>Hằng năm, căn cứ Nghị quyết của HĐND tỉnh về định mức phân bổ dự toán chi thường xuyên ngân sách địa phương, UBND tỉnh giao dự toán kinh phí thực hiện Nghị quyết trong dự toán chi thường xuyên của ngân sách cấp huyện (giai đoạn 2018 - 6/2025) và trực tiếp cho các xã, phường (từ ngày 01/7/2025); đồng thời ban hành quyết định về giải pháp chủ yếu chỉ đạo, điều hành thực hiện kế hoạch phát triển kinh tế - xã hội và dự toán ngân sách nhà nước, trong đó yêu cầu các cấp, các ngành quản lý, sử dụng kinh phí đúng mục đích, tiết kiệm, hiệu quả. Ủy ban MTTQ Việt Nam tỉnh hướng dẫn Mặt trận Tổ quốc cơ sở xây dựng kế hoạch, dự toán và tổ chức các hoạt động của Cuộc vận động; UBND cấp xã tổng hợp dự toán, quản lý, thanh toán, quyết toán kinh phí theo quy định tại Thông tư số 121/2017/TT-BTC.</w:t>
      </w:r>
    </w:p>
    <w:p w14:paraId="5E901233" w14:textId="77777777" w:rsidR="00316D7E" w:rsidRDefault="00316D7E">
      <w:pPr>
        <w:keepNext/>
        <w:spacing w:after="120" w:line="264" w:lineRule="auto"/>
        <w:ind w:firstLine="720"/>
        <w:jc w:val="both"/>
      </w:pPr>
      <w:r w:rsidRPr="00316D7E">
        <w:t>Việc xác định xã thuộc vùng khó khăn, xã khu vực III để áp dụng mức hỗ trợ được thực hiện căn cứ vào các văn bản quy định tương ứng với từng giai đoạn, gồm: Quyết định số 582/QĐ-TTg ngày 28/4/2017 của Thủ tướng Chính phủ (giai đoạn 2018 - 2021); Quyết định số 861/QĐ-TTg ngày 04/6/2021 của Thủ tướng Chính phủ (giai đoạn 2022 - 2025); Quyết định số 191/QĐ-UBND ngày 29/01/2026 của UBND tỉnh, được sửa đổi, bổ sung tại Quyết định số 1500/QĐ-UBND ngày 17/8/2026 (năm 2026). Số lượng khu dân cư được xác định căn cứ các Nghị quyết của HĐND tỉnh về sáp nhập, giải thể thôn, tổ dân phố trong giai đoạn 2018 - 2023 và kết quả sắp xếp thôn, tổ dân phố từ ngày 01/7/2026.</w:t>
      </w:r>
    </w:p>
    <w:p w14:paraId="207EB201" w14:textId="59F31C43" w:rsidR="00920441" w:rsidRDefault="00ED2BF7">
      <w:pPr>
        <w:keepNext/>
        <w:spacing w:after="120" w:line="264" w:lineRule="auto"/>
        <w:ind w:firstLine="720"/>
        <w:jc w:val="both"/>
      </w:pPr>
      <w:r>
        <w:rPr>
          <w:b/>
        </w:rPr>
        <w:t>II. Những kết quả đạt được</w:t>
      </w:r>
    </w:p>
    <w:p w14:paraId="377FA209" w14:textId="77777777" w:rsidR="00920441" w:rsidRDefault="00ED2BF7">
      <w:pPr>
        <w:keepNext/>
        <w:spacing w:after="120" w:line="264" w:lineRule="auto"/>
        <w:ind w:firstLine="720"/>
        <w:jc w:val="both"/>
      </w:pPr>
      <w:r>
        <w:rPr>
          <w:b/>
        </w:rPr>
        <w:t>1. Kết quả bố trí kinh phí</w:t>
      </w:r>
    </w:p>
    <w:p w14:paraId="36780CA9" w14:textId="5898B169" w:rsidR="00920441" w:rsidRDefault="00ED2BF7">
      <w:pPr>
        <w:spacing w:after="120" w:line="264" w:lineRule="auto"/>
        <w:ind w:firstLine="720"/>
        <w:jc w:val="both"/>
      </w:pPr>
      <w:r>
        <w:t>Giai đoạn 2018 - 2026, kinh phí thực hiện Nghị quyết theo định mức là 129.81</w:t>
      </w:r>
      <w:r w:rsidR="00BB2C6D">
        <w:t>5</w:t>
      </w:r>
      <w:r>
        <w:t>,5 triệu đồng (chi tiết tại Biểu số 01 kèm theo), cụ thể:</w:t>
      </w:r>
    </w:p>
    <w:p w14:paraId="368A7D9F" w14:textId="299E487E" w:rsidR="00920441" w:rsidRDefault="00ED2BF7">
      <w:pPr>
        <w:spacing w:after="120" w:line="264" w:lineRule="auto"/>
        <w:ind w:firstLine="720"/>
        <w:jc w:val="both"/>
      </w:pPr>
      <w:r>
        <w:t>- Giai đoạn 2018 - 2021: kinh phí bố trí bình quân khoảng 16.322 triệu đồng/năm, giảm dần từ 18.632 triệu đồng năm 2018 xuống 14.438 triệu đồng năm 2021. Số khu dân cư giảm từ 2.314 xuống 1.705 khu dân cư theo các Nghị quyết sáp nhập thôn, tổ dân phố của HĐND tỉnh</w:t>
      </w:r>
      <w:r w:rsidR="00BB2C6D">
        <w:rPr>
          <w:rStyle w:val="ThamchiuCcchu"/>
        </w:rPr>
        <w:footnoteReference w:id="1"/>
      </w:r>
      <w:r>
        <w:t xml:space="preserve">; số đơn vị hành chính cấp xã </w:t>
      </w:r>
      <w:r>
        <w:lastRenderedPageBreak/>
        <w:t>giảm từ 226 xuống 200 xã, phường, thị trấn từ năm 2020</w:t>
      </w:r>
      <w:r w:rsidR="00BB2C6D">
        <w:rPr>
          <w:rStyle w:val="ThamchiuCcchu"/>
        </w:rPr>
        <w:footnoteReference w:id="2"/>
      </w:r>
      <w:r>
        <w:t>; số xã hưởng mức 25 triệu đồng giảm từ 167 xuống 148 xã.</w:t>
      </w:r>
    </w:p>
    <w:p w14:paraId="7A020883" w14:textId="3B3D9FCF" w:rsidR="00920441" w:rsidRDefault="00ED2BF7">
      <w:pPr>
        <w:spacing w:after="120" w:line="264" w:lineRule="auto"/>
        <w:ind w:firstLine="720"/>
        <w:jc w:val="both"/>
      </w:pPr>
      <w:r>
        <w:t>- Giai đoạn 2022 - 2025: áp dụng danh sách xã khu vực I, II, III theo Quyết định số 861/QĐ-TTg, số xã hưởng mức 25 triệu đồng là 96 xã (88 xã khu vực III, 08 xã khu vực II); kinh phí bố trí từ 14.018 triệu đồng năm 2022 xuống 13.844 triệu đồng/năm giai đoạn 2024 - 2025 do số khu dân cư tiếp tục giảm (từ 1.676 xuống 1.646 khu dân cư)</w:t>
      </w:r>
      <w:r w:rsidR="00BB2C6D">
        <w:rPr>
          <w:rStyle w:val="ThamchiuCcchu"/>
        </w:rPr>
        <w:footnoteReference w:id="3"/>
      </w:r>
      <w:r>
        <w:t>.</w:t>
      </w:r>
    </w:p>
    <w:p w14:paraId="3B0D7BEE" w14:textId="0EFD366B" w:rsidR="00920441" w:rsidRDefault="00ED2BF7">
      <w:pPr>
        <w:spacing w:after="120" w:line="264" w:lineRule="auto"/>
        <w:ind w:firstLine="720"/>
        <w:jc w:val="both"/>
      </w:pPr>
      <w:r>
        <w:t>- Năm 2026: dự toán đã giao 10.224 triệu đồng, xác định theo số liệu trước sắp xếp. Tính lại theo phân định khu vực xã tại Quyết định số 191/QĐ-UBND (51 xã khu vực III, khu vực II hưởng mức 25 triệu đồng) và kết quả sắp xếp thôn, tổ dân phố từ ngày 01/7/2026 (06 tháng đầu năm tính theo 1.646 thôn, tổ dân phố; 06 tháng cuối năm tính theo 923 thôn, tổ dân phố), kinh phí năm 2026 là 8.90</w:t>
      </w:r>
      <w:r w:rsidR="006672D3">
        <w:t>9</w:t>
      </w:r>
      <w:r>
        <w:t>,5 triệu đồng, giảm 1.31</w:t>
      </w:r>
      <w:r w:rsidR="006672D3">
        <w:t>4</w:t>
      </w:r>
      <w:r>
        <w:t>,5 triệu đồng so với dự toán đã giao</w:t>
      </w:r>
      <w:r w:rsidR="006672D3">
        <w:t>.</w:t>
      </w:r>
    </w:p>
    <w:p w14:paraId="0F583A7F" w14:textId="77777777" w:rsidR="00920441" w:rsidRDefault="00ED2BF7">
      <w:pPr>
        <w:spacing w:after="120" w:line="264" w:lineRule="auto"/>
        <w:ind w:firstLine="720"/>
        <w:jc w:val="both"/>
      </w:pPr>
      <w:r>
        <w:t>Kinh phí được bố trí trong dự toán ngân sách hằng năm, tạo nguồn lực trực tiếp, ổn định cho Mặt trận Tổ quốc cơ sở và Ban công tác Mặt trận ở khu dân cư chủ động tổ chức các hoạt động của Cuộc vận động.</w:t>
      </w:r>
    </w:p>
    <w:p w14:paraId="46C8D63B" w14:textId="77777777" w:rsidR="00920441" w:rsidRDefault="00ED2BF7">
      <w:pPr>
        <w:keepNext/>
        <w:spacing w:after="120" w:line="264" w:lineRule="auto"/>
        <w:ind w:firstLine="720"/>
        <w:jc w:val="both"/>
      </w:pPr>
      <w:r>
        <w:rPr>
          <w:b/>
        </w:rPr>
        <w:t>2. Kết quả quản lý, sử dụng kinh phí</w:t>
      </w:r>
    </w:p>
    <w:p w14:paraId="21CF62D6" w14:textId="393683FA" w:rsidR="00920441" w:rsidRDefault="00ED2BF7">
      <w:pPr>
        <w:spacing w:after="120" w:line="264" w:lineRule="auto"/>
        <w:ind w:firstLine="720"/>
        <w:jc w:val="both"/>
      </w:pPr>
      <w:r>
        <w:t xml:space="preserve">Theo báo cáo của các </w:t>
      </w:r>
      <w:r w:rsidR="006672D3">
        <w:t>xã, phường</w:t>
      </w:r>
      <w:r>
        <w:t>, kinh phí được Ủy ban Mặt trận Tổ quốc Việt Nam cấp xã và Ban công tác Mặt trận ở khu dân cư sử dụng đúng mục đích, đúng nội dung chi quy định tại Điều 3 Thông tư số 121/2017/TT-BTC, cơ bản sử dụng hết dự toán được giao và thanh toán, quyết toán theo quy định. Năm 2024, 2025, mỗi năm sử dụng 13.844 triệu đồng; năm 2026 ước thực hiện 8.90</w:t>
      </w:r>
      <w:r w:rsidR="006672D3">
        <w:t>9</w:t>
      </w:r>
      <w:r>
        <w:t>,5 triệu đồng (chi tiết tại Biểu số 02 kèm theo).</w:t>
      </w:r>
    </w:p>
    <w:p w14:paraId="2C0F7792" w14:textId="77777777" w:rsidR="00920441" w:rsidRDefault="00ED2BF7">
      <w:pPr>
        <w:spacing w:after="120" w:line="264" w:lineRule="auto"/>
        <w:ind w:firstLine="720"/>
        <w:jc w:val="both"/>
      </w:pPr>
      <w:r>
        <w:t>Về cơ cấu chi, kinh phí tập trung chủ yếu cho tổ chức Ngày hội Đại đoàn kết toàn dân tộc ở khu dân cư và cấp xã (chiếm khoảng 44% tổng kinh phí năm 2024, 39% năm 2025); công tác phát động, thông tin, tuyên truyền, làm khẩu hiệu, pano, áp phích (khoảng 20%); còn lại là chi sơ kết, tổng kết, khen thưởng, xây dựng mô hình điển hình, tiền xăng xe đi vận động, văn phòng phẩm và các nội dung chi khác theo quy định.</w:t>
      </w:r>
    </w:p>
    <w:p w14:paraId="686AEEFC" w14:textId="77777777" w:rsidR="00920441" w:rsidRDefault="00ED2BF7">
      <w:pPr>
        <w:keepNext/>
        <w:spacing w:after="120" w:line="264" w:lineRule="auto"/>
        <w:ind w:firstLine="720"/>
        <w:jc w:val="both"/>
      </w:pPr>
      <w:r>
        <w:rPr>
          <w:b/>
        </w:rPr>
        <w:t>3. Đánh giá chung kết quả đạt được</w:t>
      </w:r>
    </w:p>
    <w:p w14:paraId="695F164E" w14:textId="77777777" w:rsidR="00920441" w:rsidRDefault="00ED2BF7">
      <w:pPr>
        <w:spacing w:after="120" w:line="264" w:lineRule="auto"/>
        <w:ind w:firstLine="720"/>
        <w:jc w:val="both"/>
      </w:pPr>
      <w:r>
        <w:t xml:space="preserve">(1) Nghị quyết được ban hành kịp thời, đúng thẩm quyền, cụ thể hóa Thông tư số 121/2017/TT-BTC phù hợp với điều kiện của tỉnh; là căn cứ quan </w:t>
      </w:r>
      <w:r>
        <w:lastRenderedPageBreak/>
        <w:t>trọng để xây dựng, phân bổ dự toán chi thường xuyên hằng năm, bảo đảm nguồn lực ổn định cho Mặt trận Tổ quốc cơ sở thực hiện Cuộc vận động.</w:t>
      </w:r>
    </w:p>
    <w:p w14:paraId="7FE7A997" w14:textId="77777777" w:rsidR="00920441" w:rsidRDefault="00ED2BF7">
      <w:pPr>
        <w:spacing w:after="120" w:line="264" w:lineRule="auto"/>
        <w:ind w:firstLine="720"/>
        <w:jc w:val="both"/>
      </w:pPr>
      <w:r>
        <w:t>(2) Mức hỗ trợ được quy định theo tiêu chí rõ ràng (khu vực xã, quy mô khu dân cư), dễ tính toán, công khai, minh bạch; việc ưu tiên mức hỗ trợ cao hơn cho xã, khu dân cư thuộc vùng khó khăn, đặc biệt khó khăn phù hợp chủ trương của Đảng, chính sách của Nhà nước đối với vùng đồng bào dân tộc thiểu số và miền núi.</w:t>
      </w:r>
    </w:p>
    <w:p w14:paraId="7561FE56" w14:textId="77777777" w:rsidR="00920441" w:rsidRDefault="00ED2BF7">
      <w:pPr>
        <w:spacing w:after="120" w:line="264" w:lineRule="auto"/>
        <w:ind w:firstLine="720"/>
        <w:jc w:val="both"/>
      </w:pPr>
      <w:r>
        <w:t>(3) Nguồn kinh phí hỗ trợ đã tạo điều kiện để Mặt trận Tổ quốc cơ sở và Ban công tác Mặt trận ở khu dân cư chủ động tổ chức Ngày hội Đại đoàn kết toàn dân tộc hằng năm, tuyên truyền, vận động Nhân dân tham gia xây dựng nông thôn mới, đô thị văn minh, hiến đất, đóng góp ngày công, kinh phí xây dựng kết cấu hạ tầng, chỉnh trang khu dân cư; góp phần vào kết quả đến tháng 3/2025 toàn tỉnh có 106 xã được công nhận đạt chuẩn nông thôn mới.</w:t>
      </w:r>
    </w:p>
    <w:p w14:paraId="4B672C71" w14:textId="77777777" w:rsidR="00920441" w:rsidRDefault="00ED2BF7">
      <w:pPr>
        <w:spacing w:after="120" w:line="264" w:lineRule="auto"/>
        <w:ind w:firstLine="720"/>
        <w:jc w:val="both"/>
      </w:pPr>
      <w:r>
        <w:t>(4) Việc quản lý, sử dụng kinh phí cơ bản đúng quy định; kinh phí được giao đến cấp xã, khu dân cư, phát huy vai trò chủ động của cơ sở và sự giám sát của Nhân dân.</w:t>
      </w:r>
    </w:p>
    <w:p w14:paraId="5020C6FD" w14:textId="77777777" w:rsidR="00920441" w:rsidRDefault="00ED2BF7">
      <w:pPr>
        <w:keepNext/>
        <w:spacing w:after="120" w:line="264" w:lineRule="auto"/>
        <w:ind w:firstLine="720"/>
        <w:jc w:val="both"/>
      </w:pPr>
      <w:r>
        <w:rPr>
          <w:b/>
        </w:rPr>
        <w:t>III. Những tồn tại, hạn chế và nguyên nhân</w:t>
      </w:r>
    </w:p>
    <w:p w14:paraId="147EACE2" w14:textId="77777777" w:rsidR="00920441" w:rsidRDefault="00ED2BF7">
      <w:pPr>
        <w:keepNext/>
        <w:spacing w:after="120" w:line="264" w:lineRule="auto"/>
        <w:ind w:firstLine="720"/>
        <w:jc w:val="both"/>
      </w:pPr>
      <w:r>
        <w:rPr>
          <w:b/>
        </w:rPr>
        <w:t>1. Tồn tại, hạn chế</w:t>
      </w:r>
    </w:p>
    <w:p w14:paraId="5ABB0CD4" w14:textId="77777777" w:rsidR="00920441" w:rsidRDefault="00ED2BF7">
      <w:pPr>
        <w:spacing w:after="120" w:line="264" w:lineRule="auto"/>
        <w:ind w:firstLine="720"/>
        <w:jc w:val="both"/>
      </w:pPr>
      <w:r>
        <w:t>(1) Căn cứ xác định xã thuộc vùng khó khăn, xã khu vực III tại Nghị quyết dẫn chiếu Quyết định số 582/QĐ-TTg, áp dụng cho giai đoạn 2016 - 2020, đến nay đã hết thời gian áp dụng. Việc chuyển sang áp dụng Quyết định số 1010/QĐ-TTg, Quyết định số 861/QĐ-TTg và Quyết định số 191/QĐ-UBND không được quy định trong Nghị quyết nên quá trình xác định đối tượng hưởng mức hỗ trợ còn lúng túng; năm 2026 dự toán được giao theo số liệu trước sắp xếp, phải tính lại và thu hồi 1.363,5 triệu đồng.</w:t>
      </w:r>
    </w:p>
    <w:p w14:paraId="6264572B" w14:textId="67A727D3" w:rsidR="00920441" w:rsidRDefault="00ED2BF7">
      <w:pPr>
        <w:spacing w:after="120" w:line="264" w:lineRule="auto"/>
        <w:ind w:firstLine="720"/>
        <w:jc w:val="both"/>
      </w:pPr>
      <w:r>
        <w:t>(</w:t>
      </w:r>
      <w:r w:rsidR="006672D3">
        <w:t>2</w:t>
      </w:r>
      <w:r>
        <w:t xml:space="preserve">) </w:t>
      </w:r>
      <w:r w:rsidR="005B5AEF" w:rsidRPr="005B5AEF">
        <w:t>Mức hỗ trợ được quy định từ năm 2018 và chưa được điều chỉnh, trong khi mức lương cơ sở tăng từ 1,39 triệu đồng lên 2,53 triệu đồng (tăng 82%), giá hàng hóa, dịch vụ cũng tăng. Vì vậy, mức hỗ trợ hiện hành không còn đáp ứng đầy đủ yêu cầu tổ chức các hoạt động của Cuộc vận động. Theo tính toán trên cơ sở chi phí thực tế của các nội dung chi, mức lương cơ sở tăng 82% và giá hàng hóa, dịch vụ tăng 27,6%, chi phí để thực hiện khối lượng công việc tương đương năm 2018 tăng bình quân khoảng 44%. Do đó, mức hỗ trợ 20 triệu đồng/xã/năm và 05 triệu đồng/khu dân cư/năm nếu giữ nguyên từ năm 2018 thì giá trị thực tế chỉ tương đương khoảng 13,9 triệu đồng và 3,5 triệu đồng theo mặt bằng chi phí năm 2018, giảm khoảng 30%.</w:t>
      </w:r>
    </w:p>
    <w:p w14:paraId="5F7CDFA1" w14:textId="77777777" w:rsidR="006672D3" w:rsidRDefault="00ED2BF7" w:rsidP="006672D3">
      <w:pPr>
        <w:spacing w:after="120" w:line="264" w:lineRule="auto"/>
        <w:ind w:firstLine="720"/>
        <w:jc w:val="both"/>
      </w:pPr>
      <w:r>
        <w:t>(</w:t>
      </w:r>
      <w:r w:rsidR="006672D3">
        <w:t>3</w:t>
      </w:r>
      <w:r>
        <w:t xml:space="preserve">) Sau sắp xếp đơn vị hành chính cấp xã (từ 200 xuống 65 xã, phường) và sắp xếp thôn, tổ dân phố (từ 1.646 xuống 923 thôn, tổ dân phố), quy mô dân số bình quân của mỗi xã tăng khoảng 03 lần, quy mô hộ bình quân của mỗi khu </w:t>
      </w:r>
      <w:r>
        <w:lastRenderedPageBreak/>
        <w:t>dân cư tăng khoảng 78%; mức hỗ trợ tính theo đơn vị xã, khu dân cư không đổi nên kinh phí bình quân cho mỗi người dân giảm mạnh.</w:t>
      </w:r>
    </w:p>
    <w:p w14:paraId="42FD1989" w14:textId="77777777" w:rsidR="006672D3" w:rsidRDefault="006672D3">
      <w:pPr>
        <w:spacing w:after="120" w:line="264" w:lineRule="auto"/>
        <w:ind w:firstLine="720"/>
        <w:jc w:val="both"/>
        <w:rPr>
          <w:b/>
        </w:rPr>
      </w:pPr>
      <w:r>
        <w:rPr>
          <w:b/>
        </w:rPr>
        <w:t>2. Nguyên nhân</w:t>
      </w:r>
    </w:p>
    <w:p w14:paraId="32341A28" w14:textId="00FE9DEC" w:rsidR="00920441" w:rsidRDefault="00ED2BF7">
      <w:pPr>
        <w:spacing w:after="120" w:line="264" w:lineRule="auto"/>
        <w:ind w:firstLine="720"/>
        <w:jc w:val="both"/>
      </w:pPr>
      <w:r>
        <w:t>- Các văn bản phân định vùng, phân định khu vực xã của Trung ương và của tỉnh thay đổi theo từng giai đoạn; Nghị quyết dẫn chiếu cụ thể một quyết định có thời hạn áp dụng nên không bao quát được các văn bản thay thế.</w:t>
      </w:r>
    </w:p>
    <w:p w14:paraId="13DC3552" w14:textId="77777777" w:rsidR="00920441" w:rsidRDefault="00ED2BF7">
      <w:pPr>
        <w:spacing w:after="120" w:line="264" w:lineRule="auto"/>
        <w:ind w:firstLine="720"/>
        <w:jc w:val="both"/>
      </w:pPr>
      <w:r>
        <w:t>- Việc sắp xếp đơn vị hành chính các cấp, sáp nhập thôn, tổ dân phố được thực hiện nhiều lần trong giai đoạn 2018 - 2026, đặc biệt là việc thực hiện mô hình chính quyền địa phương 02 cấp từ ngày 01/7/2025 và sắp xếp thôn, tổ dân phố từ ngày 01/7/2026.</w:t>
      </w:r>
    </w:p>
    <w:p w14:paraId="01F63487" w14:textId="77777777" w:rsidR="00920441" w:rsidRDefault="00ED2BF7">
      <w:pPr>
        <w:spacing w:after="120" w:line="264" w:lineRule="auto"/>
        <w:ind w:firstLine="720"/>
        <w:jc w:val="both"/>
      </w:pPr>
      <w:r>
        <w:t>- Nguồn thu ngân sách địa phương còn hạn chế, phải ưu tiên bố trí cho các chế độ, chính sách, nhiệm vụ cấp thiết nên chưa điều chỉnh kịp thời mức hỗ trợ.</w:t>
      </w:r>
    </w:p>
    <w:p w14:paraId="5D49D930" w14:textId="77777777" w:rsidR="00920441" w:rsidRDefault="00ED2BF7">
      <w:pPr>
        <w:keepNext/>
        <w:spacing w:after="120" w:line="264" w:lineRule="auto"/>
        <w:ind w:firstLine="720"/>
        <w:jc w:val="both"/>
      </w:pPr>
      <w:r>
        <w:rPr>
          <w:b/>
        </w:rPr>
        <w:t>IV. Bài học kinh nghiệm</w:t>
      </w:r>
    </w:p>
    <w:p w14:paraId="751DDE7A" w14:textId="77777777" w:rsidR="00920441" w:rsidRDefault="00ED2BF7">
      <w:pPr>
        <w:spacing w:after="120" w:line="264" w:lineRule="auto"/>
        <w:ind w:firstLine="720"/>
        <w:jc w:val="both"/>
      </w:pPr>
      <w:r>
        <w:t>Một là, việc xây dựng và tổ chức thực hiện chính sách hỗ trợ phải bám sát quy định của Trung ương, đồng thời căn cứ điều kiện thực tế của địa phương. Đối tượng, địa bàn được hưởng mức hỗ trợ cần xác định theo tiêu chí và quyết định phân định của cấp có thẩm quyền tại từng thời kỳ; hạn chế dẫn chiếu cố định đến văn bản chỉ áp dụng trong một giai đoạn, dẫn đến khó khăn khi văn bản được sửa đổi, thay thế.</w:t>
      </w:r>
    </w:p>
    <w:p w14:paraId="15ECEF93" w14:textId="77777777" w:rsidR="00920441" w:rsidRDefault="00ED2BF7">
      <w:pPr>
        <w:spacing w:after="120" w:line="264" w:lineRule="auto"/>
        <w:ind w:firstLine="720"/>
        <w:jc w:val="both"/>
      </w:pPr>
      <w:r>
        <w:t>Hai là, công tác lập, phân bổ và giao dự toán phải căn cứ đầy đủ số lượng đơn vị hành chính cấp xã, thôn, tổ dân phố, quy mô hộ dân và kết quả phân định địa bàn tại thời điểm xây dựng dự toán. Khi có thay đổi do sắp xếp đơn vị hành chính hoặc điều chỉnh phân định địa bàn, cơ quan tài chính và các đơn vị liên quan cần kịp thời rà soát, đối chiếu, xác định nhu cầu kinh phí và tham mưu xử lý dự toán theo thẩm quyền, hạn chế tình trạng giao thừa, giao thiếu và phải điều chỉnh nhiều lần.</w:t>
      </w:r>
    </w:p>
    <w:p w14:paraId="3DAF9A9E" w14:textId="77777777" w:rsidR="00920441" w:rsidRDefault="00ED2BF7">
      <w:pPr>
        <w:spacing w:after="120" w:line="264" w:lineRule="auto"/>
        <w:ind w:firstLine="720"/>
        <w:jc w:val="both"/>
      </w:pPr>
      <w:r>
        <w:t>Ba là, việc quy định mức hỗ trợ cần tính đến quy mô địa bàn, dân số, khối lượng nhiệm vụ của Mặt trận Tổ quốc cấp xã và Ban công tác Mặt trận ở khu dân cư, đồng thời phù hợp với khả năng cân đối ngân sách địa phương. Quá trình rà soát chính sách phải đánh giá đồng thời mức hỗ trợ cho từng đơn vị và tổng nhu cầu kinh phí sau sắp xếp, bảo đảm sử dụng ngân sách tiết kiệm, đúng mục đích và không làm phát sinh nhiệm vụ chi vượt khả năng cân đối.</w:t>
      </w:r>
    </w:p>
    <w:p w14:paraId="6DF92185" w14:textId="77777777" w:rsidR="009B65A6" w:rsidRDefault="006672D3" w:rsidP="009B65A6">
      <w:pPr>
        <w:ind w:firstLine="720"/>
        <w:jc w:val="both"/>
      </w:pPr>
      <w:r>
        <w:t>Bốn là, việc sơ kết, tổng kết, đánh giá chính sách cần được thực hiện thường xuyên, nhất là khi có thay đổi lớn về tổ chức chính quyền địa phương, địa bàn hành chính và cơ chế phân định vùng. Qua đánh giá phải xác định rõ kết quả đạt được, những vướng mắc trong áp dụng chính sách và nguyên nhân để kịp thời kiến nghị cấp có thẩm quyền sửa đổi, bổ sung hoặc ban hành văn bản thay thế.</w:t>
      </w:r>
    </w:p>
    <w:p w14:paraId="09783A0C" w14:textId="77777777" w:rsidR="009B65A6" w:rsidRDefault="00ED2BF7" w:rsidP="009B65A6">
      <w:pPr>
        <w:ind w:firstLine="720"/>
        <w:jc w:val="center"/>
        <w:rPr>
          <w:b/>
        </w:rPr>
      </w:pPr>
      <w:r>
        <w:rPr>
          <w:b/>
        </w:rPr>
        <w:lastRenderedPageBreak/>
        <w:t>Phần thứ hai</w:t>
      </w:r>
    </w:p>
    <w:p w14:paraId="4A2BAF1E" w14:textId="3E4C2019" w:rsidR="00920441" w:rsidRDefault="00ED2BF7" w:rsidP="009B65A6">
      <w:pPr>
        <w:ind w:firstLine="720"/>
        <w:jc w:val="center"/>
      </w:pPr>
      <w:r>
        <w:rPr>
          <w:b/>
        </w:rPr>
        <w:t>MỤC TIÊU, NGUYÊN TẮC VÀ ĐỀ XUẤT NỘI DUNG NGHỊ QUYẾT THAY THẾ NGHỊ QUYẾT SỐ 05/2018/NQ-HĐND</w:t>
      </w:r>
    </w:p>
    <w:p w14:paraId="08E9F867" w14:textId="77777777" w:rsidR="00920441" w:rsidRDefault="00ED2BF7">
      <w:pPr>
        <w:keepNext/>
        <w:spacing w:after="120" w:line="264" w:lineRule="auto"/>
        <w:ind w:firstLine="720"/>
        <w:jc w:val="both"/>
      </w:pPr>
      <w:r>
        <w:rPr>
          <w:b/>
        </w:rPr>
        <w:t>I. Mục tiêu và nguyên tắc</w:t>
      </w:r>
    </w:p>
    <w:p w14:paraId="12EB4D7B" w14:textId="77777777" w:rsidR="00920441" w:rsidRDefault="00ED2BF7">
      <w:pPr>
        <w:keepNext/>
        <w:spacing w:after="120" w:line="264" w:lineRule="auto"/>
        <w:ind w:firstLine="720"/>
        <w:jc w:val="both"/>
      </w:pPr>
      <w:r>
        <w:rPr>
          <w:b/>
        </w:rPr>
        <w:t>1. Mục tiêu</w:t>
      </w:r>
    </w:p>
    <w:p w14:paraId="680814CA" w14:textId="7DBC476A" w:rsidR="00920441" w:rsidRDefault="00ED2BF7">
      <w:pPr>
        <w:spacing w:after="120" w:line="264" w:lineRule="auto"/>
        <w:ind w:firstLine="720"/>
        <w:jc w:val="both"/>
      </w:pPr>
      <w:r>
        <w:t xml:space="preserve">Bảo đảm nguồn lực để Ủy ban Mặt trận Tổ quốc Việt Nam cấp xã và Ban công tác Mặt trận ở khu dân cư thực hiện có hiệu quả Cuộc vận động trong mô hình chính quyền địa phương 02 cấp; khắc phục các tồn tại, hạn chế của Nghị quyết số 05/2018/NQ-HĐND; góp phần thực hiện mục tiêu xây dựng nông thôn mới, đô thị văn minh giai đoạn </w:t>
      </w:r>
      <w:r w:rsidR="005B5AEF">
        <w:t>tiếp theo</w:t>
      </w:r>
      <w:r>
        <w:t>.</w:t>
      </w:r>
    </w:p>
    <w:p w14:paraId="19127090" w14:textId="77777777" w:rsidR="00920441" w:rsidRDefault="00ED2BF7">
      <w:pPr>
        <w:keepNext/>
        <w:spacing w:after="120" w:line="264" w:lineRule="auto"/>
        <w:ind w:firstLine="720"/>
        <w:jc w:val="both"/>
      </w:pPr>
      <w:r>
        <w:rPr>
          <w:b/>
        </w:rPr>
        <w:t>2. Nguyên tắc</w:t>
      </w:r>
    </w:p>
    <w:p w14:paraId="7374FC5B" w14:textId="77777777" w:rsidR="00920441" w:rsidRDefault="00ED2BF7">
      <w:pPr>
        <w:spacing w:after="120" w:line="264" w:lineRule="auto"/>
        <w:ind w:firstLine="720"/>
        <w:jc w:val="both"/>
      </w:pPr>
      <w:r>
        <w:t>a) Phù hợp với Luật Ngân sách nhà nước, Luật Mặt trận Tổ quốc Việt Nam, Thông tư số 121/2017/TT-BTC; mức hỗ trợ không thấp hơn mức tối thiểu quy định tại khoản 10, khoản 11 Điều 4 Thông tư số 121/2017/TT-BTC.</w:t>
      </w:r>
    </w:p>
    <w:p w14:paraId="6A022A2A" w14:textId="77777777" w:rsidR="00920441" w:rsidRDefault="00ED2BF7">
      <w:pPr>
        <w:spacing w:after="120" w:line="264" w:lineRule="auto"/>
        <w:ind w:firstLine="720"/>
        <w:jc w:val="both"/>
      </w:pPr>
      <w:r>
        <w:t>b) Kế thừa các nội dung còn phù hợp của Nghị quyết số 05/2018/NQ-HĐND; ưu tiên xã, khu dân cư thuộc vùng khó khăn, đặc biệt khó khăn.</w:t>
      </w:r>
    </w:p>
    <w:p w14:paraId="701877E1" w14:textId="6457A577" w:rsidR="00920441" w:rsidRDefault="00ED2BF7">
      <w:pPr>
        <w:spacing w:after="120" w:line="264" w:lineRule="auto"/>
        <w:ind w:firstLine="720"/>
        <w:jc w:val="both"/>
      </w:pPr>
      <w:r>
        <w:t>c) Phù hợp với khả năng cân đối của ngân sách tỉnh và yêu cầu tiết kiệm chi thường xuyên sau sắp xếp, tinh gọn tổ chức bộ máy.</w:t>
      </w:r>
    </w:p>
    <w:p w14:paraId="75BBDEC8" w14:textId="77777777" w:rsidR="00920441" w:rsidRDefault="00ED2BF7">
      <w:pPr>
        <w:keepNext/>
        <w:spacing w:after="120" w:line="264" w:lineRule="auto"/>
        <w:ind w:firstLine="720"/>
        <w:jc w:val="both"/>
      </w:pPr>
      <w:r>
        <w:rPr>
          <w:b/>
        </w:rPr>
        <w:t>II. Đề xuất nội dung Nghị quyết thay thế</w:t>
      </w:r>
    </w:p>
    <w:p w14:paraId="435E9C29" w14:textId="77777777" w:rsidR="00920441" w:rsidRDefault="00ED2BF7">
      <w:pPr>
        <w:keepNext/>
        <w:spacing w:after="120" w:line="264" w:lineRule="auto"/>
        <w:ind w:firstLine="720"/>
        <w:jc w:val="both"/>
      </w:pPr>
      <w:r>
        <w:rPr>
          <w:b/>
        </w:rPr>
        <w:t>1. Phạm vi điều chỉnh, đối tượng áp dụng</w:t>
      </w:r>
    </w:p>
    <w:p w14:paraId="1F99B454" w14:textId="59DDEB39" w:rsidR="00920441" w:rsidRDefault="005B5AEF">
      <w:pPr>
        <w:spacing w:after="120" w:line="264" w:lineRule="auto"/>
        <w:ind w:firstLine="720"/>
        <w:jc w:val="both"/>
      </w:pPr>
      <w:r>
        <w:t>G</w:t>
      </w:r>
      <w:r w:rsidR="00ED2BF7">
        <w:t>iữ nguyên phạm vi điều chỉnh; bổ sung đối tượng là các cơ quan, tổ chức, cá nhân có liên quan đến việc lập dự toán, phân bổ, quản lý, sử dụng và quyết toán kinh phí để bảo đảm tính bao quát trong tổ chức thực hiện.</w:t>
      </w:r>
    </w:p>
    <w:p w14:paraId="66A7AF6A" w14:textId="77777777" w:rsidR="00920441" w:rsidRDefault="00ED2BF7">
      <w:pPr>
        <w:keepNext/>
        <w:spacing w:after="120" w:line="264" w:lineRule="auto"/>
        <w:ind w:firstLine="720"/>
        <w:jc w:val="both"/>
      </w:pPr>
      <w:r>
        <w:rPr>
          <w:b/>
        </w:rPr>
        <w:t>2. Mức chi hỗ trợ đối với Ủy ban Mặt trận Tổ quốc Việt Nam cấp xã</w:t>
      </w:r>
    </w:p>
    <w:p w14:paraId="1B8F994F" w14:textId="77777777" w:rsidR="009B65A6" w:rsidRDefault="00ED2BF7" w:rsidP="009B65A6">
      <w:pPr>
        <w:pBdr>
          <w:top w:val="single" w:sz="4" w:space="0" w:color="FFFFFF"/>
          <w:left w:val="single" w:sz="4" w:space="0" w:color="FFFFFF"/>
          <w:bottom w:val="single" w:sz="4" w:space="27" w:color="FFFFFF"/>
          <w:right w:val="single" w:sz="4" w:space="0" w:color="FFFFFF"/>
        </w:pBdr>
        <w:shd w:val="clear" w:color="auto" w:fill="FFFFFF"/>
        <w:spacing w:before="120" w:after="120" w:line="340" w:lineRule="exact"/>
        <w:ind w:firstLine="720"/>
        <w:jc w:val="both"/>
      </w:pPr>
      <w:r>
        <w:t xml:space="preserve">Đề xuất: </w:t>
      </w:r>
      <w:r w:rsidR="009B65A6" w:rsidRPr="006032C1">
        <w:t>xã thuộc vùng khó khăn, xã thuộc địa bàn đặc biệt khó khăn vùng dân tộc thiểu số và miền núi theo Quyết định của cấp có thẩm quyền: 50</w:t>
      </w:r>
      <w:r w:rsidR="009B65A6">
        <w:t xml:space="preserve"> triệu</w:t>
      </w:r>
      <w:r w:rsidR="009B65A6" w:rsidRPr="006032C1">
        <w:t xml:space="preserve"> đồng/ xã/ năm</w:t>
      </w:r>
      <w:r>
        <w:t xml:space="preserve"> (tăng từ 25 triệu đồng); xã, phường còn lại: 40 triệu đồng/xã, phường/năm (tăng từ 20 triệu đồng).</w:t>
      </w:r>
    </w:p>
    <w:p w14:paraId="3600E1FE" w14:textId="77777777" w:rsidR="009B65A6" w:rsidRDefault="00ED2BF7" w:rsidP="009B65A6">
      <w:pPr>
        <w:pBdr>
          <w:top w:val="single" w:sz="4" w:space="0" w:color="FFFFFF"/>
          <w:left w:val="single" w:sz="4" w:space="0" w:color="FFFFFF"/>
          <w:bottom w:val="single" w:sz="4" w:space="27" w:color="FFFFFF"/>
          <w:right w:val="single" w:sz="4" w:space="0" w:color="FFFFFF"/>
        </w:pBdr>
        <w:shd w:val="clear" w:color="auto" w:fill="FFFFFF"/>
        <w:spacing w:before="120" w:after="120" w:line="340" w:lineRule="exact"/>
        <w:ind w:firstLine="720"/>
        <w:jc w:val="both"/>
      </w:pPr>
      <w:r>
        <w:t>Thuyết minh:</w:t>
      </w:r>
    </w:p>
    <w:p w14:paraId="514A1EED" w14:textId="0A99676D" w:rsidR="009B65A6" w:rsidRDefault="00ED2BF7" w:rsidP="009B65A6">
      <w:pPr>
        <w:pBdr>
          <w:top w:val="single" w:sz="4" w:space="0" w:color="FFFFFF"/>
          <w:left w:val="single" w:sz="4" w:space="0" w:color="FFFFFF"/>
          <w:bottom w:val="single" w:sz="4" w:space="27" w:color="FFFFFF"/>
          <w:right w:val="single" w:sz="4" w:space="0" w:color="FFFFFF"/>
        </w:pBdr>
        <w:shd w:val="clear" w:color="auto" w:fill="FFFFFF"/>
        <w:spacing w:before="120" w:after="120" w:line="340" w:lineRule="exact"/>
        <w:ind w:firstLine="720"/>
        <w:jc w:val="both"/>
      </w:pPr>
      <w:r>
        <w:t xml:space="preserve">- Khoản 10 Điều 4 Thông tư số 121/2017/TT-BTC quy định mức hỗ trợ tối thiểu 20 triệu đồng/xã/năm, xã thuộc vùng khó khăn, đặc biệt khó khăn tối thiểu 25 triệu đồng/xã/năm và giao HĐND tỉnh quy định mức cụ thể phù hợp khả năng ngân sách. Mức đề xuất tăng 100% so với Nghị quyết số 05/2018/NQ-HĐND, </w:t>
      </w:r>
      <w:r w:rsidR="000A6594">
        <w:t xml:space="preserve">đảm bảo mức tăng </w:t>
      </w:r>
      <w:r>
        <w:t>tương ứng với mức tăng quy mô dân số bình quân của xã sau sắp xếp và mức tăng lương cơ sở</w:t>
      </w:r>
      <w:r w:rsidR="005B5AEF">
        <w:t xml:space="preserve"> (82%)</w:t>
      </w:r>
      <w:r>
        <w:t>, mặt bằng giá cả từ năm 2018 đến nay</w:t>
      </w:r>
      <w:r w:rsidR="000A6594">
        <w:t xml:space="preserve"> (tỷ lệ trượt giá lũy kế từ năm 2018 đến hết năm 2025 khoảng 27,6%)</w:t>
      </w:r>
      <w:r>
        <w:t>.</w:t>
      </w:r>
    </w:p>
    <w:p w14:paraId="2BB5D76D" w14:textId="77777777" w:rsidR="005B5AEF" w:rsidRPr="005B5AEF" w:rsidRDefault="005B5AEF" w:rsidP="005B5AEF">
      <w:pPr>
        <w:pBdr>
          <w:top w:val="single" w:sz="4" w:space="0" w:color="FFFFFF"/>
          <w:left w:val="single" w:sz="4" w:space="0" w:color="FFFFFF"/>
          <w:bottom w:val="single" w:sz="4" w:space="27" w:color="FFFFFF"/>
          <w:right w:val="single" w:sz="4" w:space="0" w:color="FFFFFF"/>
        </w:pBdr>
        <w:shd w:val="clear" w:color="auto" w:fill="FFFFFF"/>
        <w:spacing w:before="120" w:after="120" w:line="340" w:lineRule="exact"/>
        <w:ind w:firstLine="720"/>
        <w:jc w:val="both"/>
        <w:rPr>
          <w:lang w:val="en-001"/>
        </w:rPr>
      </w:pPr>
      <w:r w:rsidRPr="005B5AEF">
        <w:rPr>
          <w:lang w:val="en-001"/>
        </w:rPr>
        <w:lastRenderedPageBreak/>
        <w:t>- Về cơ cấu chi: mức lương cơ sở tăng 82% nhưng chỉ ảnh hưởng đến một phần chi phí của Cuộc vận động, như tiền thưởng cho tập thể, cá nhân theo quy định về thi đua, khen thưởng, chi bồi dưỡng đại biểu dự hội nghị và công tác phí; nhóm này chiếm khoảng 30% tổng kinh phí. Khoảng 70% còn lại là chi mua sắm hàng hóa, dịch vụ phục vụ Ngày hội Đại đoàn kết toàn dân tộc, làm khẩu hiệu, pano, áp phích, in tài liệu, văn phòng phẩm và xăng xe đi vận động. Nhóm chi này biến động theo giá thị trường (tăng khoảng 27,6%), không tăng theo mức lương cơ sở. Tính bình quân theo cơ cấu chi thực tế (30% x 82% + 70% x 27,6%), chi phí để thực hiện khối lượng công việc tương đương năm 2018 tăng khoảng 44%, thấp hơn mức tăng 82% của lương cơ sở.</w:t>
      </w:r>
    </w:p>
    <w:p w14:paraId="7A164018" w14:textId="3A217EF0" w:rsidR="005B5AEF" w:rsidRPr="005B5AEF" w:rsidRDefault="005B5AEF" w:rsidP="005B5AEF">
      <w:pPr>
        <w:pBdr>
          <w:top w:val="single" w:sz="4" w:space="0" w:color="FFFFFF"/>
          <w:left w:val="single" w:sz="4" w:space="0" w:color="FFFFFF"/>
          <w:bottom w:val="single" w:sz="4" w:space="27" w:color="FFFFFF"/>
          <w:right w:val="single" w:sz="4" w:space="0" w:color="FFFFFF"/>
        </w:pBdr>
        <w:shd w:val="clear" w:color="auto" w:fill="FFFFFF"/>
        <w:spacing w:before="120" w:after="120" w:line="340" w:lineRule="exact"/>
        <w:ind w:firstLine="720"/>
        <w:jc w:val="both"/>
        <w:rPr>
          <w:lang w:val="en-001"/>
        </w:rPr>
      </w:pPr>
      <w:r w:rsidRPr="005B5AEF">
        <w:rPr>
          <w:lang w:val="en-001"/>
        </w:rPr>
        <w:t>- Về khối lượng nhiệm vụ: các hoạt động của Cuộc vận động được tổ chức theo đầu mối xã, phường, gồm Ngày hội Đại đoàn kết toàn dân tộc cấp xã, hội nghị sơ kết, tổng kết, các đợt phát động và tuyên truyền. Vì vậy, số lượng hoạt động không tăng tương ứng với quy mô dân số sau sắp xếp; phần chi phí tăng chủ yếu liên quan đến đi lại, tuyên truyền do địa bàn rộng hơn và số đại biểu dự hội nghị nhiều hơn. Mức tăng hỗ trợ 100% dự kiến bù đắp phần tăng chi phí do trượt giá và tăng lương cơ sở (khoảng 44%), đồng thời hỗ trợ thêm cho yêu cầu đi lại và tổ chức hoạt động trên địa bàn rộng hơn. Mức đề xuất được cân đối với nhu cầu thực tế và khả năng ngân sách tỉnh.</w:t>
      </w:r>
    </w:p>
    <w:p w14:paraId="3B63DED7" w14:textId="0A9D12DE" w:rsidR="009B65A6" w:rsidRDefault="00ED2BF7" w:rsidP="009B65A6">
      <w:pPr>
        <w:pBdr>
          <w:top w:val="single" w:sz="4" w:space="0" w:color="FFFFFF"/>
          <w:left w:val="single" w:sz="4" w:space="0" w:color="FFFFFF"/>
          <w:bottom w:val="single" w:sz="4" w:space="27" w:color="FFFFFF"/>
          <w:right w:val="single" w:sz="4" w:space="0" w:color="FFFFFF"/>
        </w:pBdr>
        <w:shd w:val="clear" w:color="auto" w:fill="FFFFFF"/>
        <w:spacing w:before="120" w:after="120" w:line="340" w:lineRule="exact"/>
        <w:ind w:firstLine="720"/>
        <w:jc w:val="both"/>
      </w:pPr>
      <w:r>
        <w:t>- Về đối tượng hưởng mức 50 triệu đồng: thay cụm từ “xã thuộc vùng khó khăn theo Quyết định của Thủ tướng Chính phủ; xã khu vực III theo Quyết định số 582/QĐ-TTg” bằng “</w:t>
      </w:r>
      <w:r w:rsidR="009B65A6" w:rsidRPr="006032C1">
        <w:t xml:space="preserve">xã </w:t>
      </w:r>
      <w:r w:rsidR="005B5AEF">
        <w:t>khu vực II (xã khó khăn), xã khu vực III (xã đặc biệt khó khăn)</w:t>
      </w:r>
      <w:r w:rsidR="009B65A6" w:rsidRPr="006032C1">
        <w:t xml:space="preserve"> theo Quyết định của cấp có thẩm quyền</w:t>
      </w:r>
      <w:r>
        <w:t xml:space="preserve">”, bảo đảm Nghị quyết không phải sửa đổi khi danh sách phân định thay đổi. </w:t>
      </w:r>
    </w:p>
    <w:p w14:paraId="27ED1CD7" w14:textId="46E991DC" w:rsidR="008F0AE8" w:rsidRDefault="00ED2BF7" w:rsidP="008F0AE8">
      <w:pPr>
        <w:pBdr>
          <w:top w:val="single" w:sz="4" w:space="0" w:color="FFFFFF"/>
          <w:left w:val="single" w:sz="4" w:space="0" w:color="FFFFFF"/>
          <w:bottom w:val="single" w:sz="4" w:space="27" w:color="FFFFFF"/>
          <w:right w:val="single" w:sz="4" w:space="0" w:color="FFFFFF"/>
        </w:pBdr>
        <w:shd w:val="clear" w:color="auto" w:fill="FFFFFF"/>
        <w:spacing w:before="120" w:after="120" w:line="340" w:lineRule="exact"/>
        <w:ind w:firstLine="720"/>
        <w:jc w:val="both"/>
      </w:pPr>
      <w:r>
        <w:t xml:space="preserve">- </w:t>
      </w:r>
      <w:r w:rsidR="008F0AE8" w:rsidRPr="008F0AE8">
        <w:t>Không bổ sung tiêu chí quy mô dân số đối với cấp xã  do Thông tư số 121/2017/TT-BTC chỉ quy định tiêu chí quy mô dân số đối với khu dân cư. Mặt khác, yếu tố dân số đã được xem xét trong cơ chế hỗ trợ kinh phí cho Ban công tác Mặt trận ở khu dân cư; theo đó, xã có nhiều khu dân cư được bố trí tổng kinh phí lớn hơn, đồng thời khu dân cư có quy mô trên 700 hộ dân được hỗ trợ tăng thêm 01 triệu đồng/năm khi tăng thêm 200 hộ dân. Trong khi đó, khối lượng nhiệm vụ của Ủy ban MTTQ Việt Nam cấp xã không tăng tương ứng với quy mô dân số. Vì vậy, việc bổ sung tiêu chí dân số để xác định mức hỗ trợ ở cấp xã là chưa cần thiết, tránh tính trùng yếu tố dân số trong cơ chế phân bổ kinh phí.</w:t>
      </w:r>
    </w:p>
    <w:p w14:paraId="36F545DD" w14:textId="6B77B864" w:rsidR="008F0AE8" w:rsidRDefault="00ED2BF7" w:rsidP="008F0AE8">
      <w:pPr>
        <w:pBdr>
          <w:top w:val="single" w:sz="4" w:space="0" w:color="FFFFFF"/>
          <w:left w:val="single" w:sz="4" w:space="0" w:color="FFFFFF"/>
          <w:bottom w:val="single" w:sz="4" w:space="27" w:color="FFFFFF"/>
          <w:right w:val="single" w:sz="4" w:space="0" w:color="FFFFFF"/>
        </w:pBdr>
        <w:shd w:val="clear" w:color="auto" w:fill="FFFFFF"/>
        <w:spacing w:before="120" w:after="120" w:line="340" w:lineRule="exact"/>
        <w:ind w:firstLine="720"/>
        <w:jc w:val="both"/>
      </w:pPr>
      <w:r>
        <w:t xml:space="preserve">- </w:t>
      </w:r>
      <w:r w:rsidR="008F0AE8" w:rsidRPr="008F0AE8">
        <w:t xml:space="preserve">Về so sánh với các tỉnh lân cận: mức đề xuất tương đương mức của tỉnh Tuyên Quang (Nghị quyết số 40/2025/NQ-HĐND: 40 - 50 triệu đồng/năm). Tỉnh Tuyên Quang (sau hợp nhất với tỉnh Hà Giang) là tỉnh miền núi, biên giới, có nhiều điểm tương đồng với tỉnh Lạng Sơn về điều kiện địa lý, tỷ lệ đồng bào dân tộc thiểu số, số xã khu vực II, III và khả năng cân đối ngân sách, chủ yếu dựa vào nguồn bổ sung từ ngân sách trung ương. Mức đề xuất thấp hơn tỉnh Thái Nguyên (Nghị quyết số 44/2025/NQ-HĐND: 100 - 120 triệu đồng/năm) do tỉnh Thái Nguyên có quy mô kinh tế lớn, công nghiệp phát triển, nguồn thu ngân </w:t>
      </w:r>
      <w:r w:rsidR="008F0AE8" w:rsidRPr="008F0AE8">
        <w:lastRenderedPageBreak/>
        <w:t xml:space="preserve">sách trên địa bàn cao và khả năng tự cân đối ngân sách tốt hơn. </w:t>
      </w:r>
      <w:r w:rsidR="000A6594" w:rsidRPr="000A6594">
        <w:t xml:space="preserve">Đối với các tỉnh Cao Bằng, Sơn La và Lai Châu, qua rà soát, mức hỗ trợ </w:t>
      </w:r>
      <w:r w:rsidR="000A6594">
        <w:t>vẫn giữ mức tối thiểu theo thông tư 121/2017/TT-BTC, chưa thực hiện điều chỉnh.</w:t>
      </w:r>
    </w:p>
    <w:p w14:paraId="1D64DA59" w14:textId="77777777" w:rsidR="008F0AE8" w:rsidRDefault="00ED2BF7" w:rsidP="008F0AE8">
      <w:pPr>
        <w:pBdr>
          <w:top w:val="single" w:sz="4" w:space="0" w:color="FFFFFF"/>
          <w:left w:val="single" w:sz="4" w:space="0" w:color="FFFFFF"/>
          <w:bottom w:val="single" w:sz="4" w:space="27" w:color="FFFFFF"/>
          <w:right w:val="single" w:sz="4" w:space="0" w:color="FFFFFF"/>
        </w:pBdr>
        <w:shd w:val="clear" w:color="auto" w:fill="FFFFFF"/>
        <w:spacing w:before="120" w:after="120" w:line="340" w:lineRule="exact"/>
        <w:ind w:firstLine="720"/>
        <w:jc w:val="both"/>
        <w:rPr>
          <w:b/>
        </w:rPr>
      </w:pPr>
      <w:r>
        <w:rPr>
          <w:b/>
        </w:rPr>
        <w:t>3. Mức chi hỗ trợ đối với Ban công tác Mặt trận ở khu dân cư</w:t>
      </w:r>
    </w:p>
    <w:p w14:paraId="70A967EA" w14:textId="46EFE1C1" w:rsidR="008F0AE8" w:rsidRDefault="00ED2BF7" w:rsidP="008F0AE8">
      <w:pPr>
        <w:pBdr>
          <w:top w:val="single" w:sz="4" w:space="0" w:color="FFFFFF"/>
          <w:left w:val="single" w:sz="4" w:space="0" w:color="FFFFFF"/>
          <w:bottom w:val="single" w:sz="4" w:space="27" w:color="FFFFFF"/>
          <w:right w:val="single" w:sz="4" w:space="0" w:color="FFFFFF"/>
        </w:pBdr>
        <w:shd w:val="clear" w:color="auto" w:fill="FFFFFF"/>
        <w:spacing w:before="120" w:after="120" w:line="340" w:lineRule="exact"/>
        <w:ind w:firstLine="720"/>
        <w:jc w:val="both"/>
      </w:pPr>
      <w:r>
        <w:t xml:space="preserve">Đề xuất: khu dân cư có quy mô dân số dưới 700 hộ dân: 10 triệu đồng/năm/khu dân cư (tăng từ 05 triệu đồng); khu dân cư có quy mô dân số cứ tăng thêm 200 hộ dân được hỗ trợ thêm 01 triệu đồng/năm; khu dân cư </w:t>
      </w:r>
      <w:r w:rsidR="005B5AEF">
        <w:t xml:space="preserve">của </w:t>
      </w:r>
      <w:r w:rsidR="005B5AEF" w:rsidRPr="006032C1">
        <w:t xml:space="preserve">xã </w:t>
      </w:r>
      <w:r w:rsidR="005B5AEF">
        <w:t>khu vực II (xã khó khăn), xã khu vực III (xã đặc biệt khó khăn)</w:t>
      </w:r>
      <w:r>
        <w:t xml:space="preserve"> được hỗ trợ thêm 01 triệu đồng/năm (giữ nguyên).</w:t>
      </w:r>
    </w:p>
    <w:p w14:paraId="058310B9" w14:textId="77777777" w:rsidR="008F0AE8" w:rsidRDefault="00ED2BF7" w:rsidP="008F0AE8">
      <w:pPr>
        <w:pBdr>
          <w:top w:val="single" w:sz="4" w:space="0" w:color="FFFFFF"/>
          <w:left w:val="single" w:sz="4" w:space="0" w:color="FFFFFF"/>
          <w:bottom w:val="single" w:sz="4" w:space="27" w:color="FFFFFF"/>
          <w:right w:val="single" w:sz="4" w:space="0" w:color="FFFFFF"/>
        </w:pBdr>
        <w:shd w:val="clear" w:color="auto" w:fill="FFFFFF"/>
        <w:spacing w:before="120" w:after="120" w:line="340" w:lineRule="exact"/>
        <w:ind w:firstLine="720"/>
        <w:jc w:val="both"/>
      </w:pPr>
      <w:r>
        <w:t>Thuyết minh:</w:t>
      </w:r>
    </w:p>
    <w:p w14:paraId="78D94948" w14:textId="77777777" w:rsidR="008F0AE8" w:rsidRDefault="00ED2BF7" w:rsidP="008F0AE8">
      <w:pPr>
        <w:pBdr>
          <w:top w:val="single" w:sz="4" w:space="0" w:color="FFFFFF"/>
          <w:left w:val="single" w:sz="4" w:space="0" w:color="FFFFFF"/>
          <w:bottom w:val="single" w:sz="4" w:space="27" w:color="FFFFFF"/>
          <w:right w:val="single" w:sz="4" w:space="0" w:color="FFFFFF"/>
        </w:pBdr>
        <w:shd w:val="clear" w:color="auto" w:fill="FFFFFF"/>
        <w:spacing w:before="120" w:after="120" w:line="340" w:lineRule="exact"/>
        <w:ind w:firstLine="720"/>
        <w:jc w:val="both"/>
      </w:pPr>
      <w:r>
        <w:t>- Sau sắp xếp từ ngày 01/7/2026, quy mô bình quân của mỗi khu dân cư tăng từ khoảng 121 hộ lên khoảng 215 hộ (tăng 78%), địa bàn rộng hơn, khối lượng công việc của Ban công tác Mặt trận tăng; mức hỗ trợ đề xuất tăng 100%, cao hơn mức của tỉnh Tuyên Quang (06 triệu đồng/năm) và tương đương mức cao của tỉnh Thái Nguyên (08 - 10 triệu đồng/năm).</w:t>
      </w:r>
    </w:p>
    <w:p w14:paraId="41738AB9" w14:textId="1E2D4F4A" w:rsidR="005B5AEF" w:rsidRDefault="005B5AEF" w:rsidP="008F0AE8">
      <w:pPr>
        <w:pBdr>
          <w:top w:val="single" w:sz="4" w:space="0" w:color="FFFFFF"/>
          <w:left w:val="single" w:sz="4" w:space="0" w:color="FFFFFF"/>
          <w:bottom w:val="single" w:sz="4" w:space="27" w:color="FFFFFF"/>
          <w:right w:val="single" w:sz="4" w:space="0" w:color="FFFFFF"/>
        </w:pBdr>
        <w:shd w:val="clear" w:color="auto" w:fill="FFFFFF"/>
        <w:spacing w:before="120" w:after="120" w:line="340" w:lineRule="exact"/>
        <w:ind w:firstLine="720"/>
        <w:jc w:val="both"/>
      </w:pPr>
      <w:r w:rsidRPr="005B5AEF">
        <w:t>- Mức hỗ trợ cơ bản đề xuất tăng 100%, trên cơ sở xem xét cả biến động chi phí và quy mô khu dân cư sau sắp xếp. Chi phí thực hiện cùng khối lượng công việc tăng khoảng 44% do trượt giá và tăng lương cơ sở; số hộ bình quân mỗi khu dân cư tăng 78%. Tính bình quân, mức hỗ trợ trên mỗi hộ tăng từ khoảng 41.300 đồng/hộ/năm (05 triệu đồng cho khu dân cư bình quân 121 hộ) lên khoảng 46.500 đồng/hộ/năm (10 triệu đồng cho khu dân cư bình quân 215 hộ), tương đương tăng 12,6%. Như vậy, dù mức hỗ trợ mỗi khu dân cư tăng gấp đôi, mức tính trên mỗi hộ chỉ tăng 12,6%, phù hợp với thực tế phần lớn chi phí tổ chức Ngày hội Đại đoàn kết toàn dân tộc và tuyên truyền là chi phí theo đầu mối, không tăng tương ứng với số hộ dân.</w:t>
      </w:r>
    </w:p>
    <w:p w14:paraId="400FE73C" w14:textId="77777777" w:rsidR="008F0AE8" w:rsidRDefault="00ED2BF7" w:rsidP="008F0AE8">
      <w:pPr>
        <w:pBdr>
          <w:top w:val="single" w:sz="4" w:space="0" w:color="FFFFFF"/>
          <w:left w:val="single" w:sz="4" w:space="0" w:color="FFFFFF"/>
          <w:bottom w:val="single" w:sz="4" w:space="27" w:color="FFFFFF"/>
          <w:right w:val="single" w:sz="4" w:space="0" w:color="FFFFFF"/>
        </w:pBdr>
        <w:shd w:val="clear" w:color="auto" w:fill="FFFFFF"/>
        <w:spacing w:before="120" w:after="120" w:line="340" w:lineRule="exact"/>
        <w:ind w:firstLine="720"/>
        <w:jc w:val="both"/>
      </w:pPr>
      <w:r>
        <w:t>- Giữ nguyên mức hỗ trợ thêm 01 triệu đồng/năm theo quy mô hộ và theo địa bàn khó khăn: điểm b, điểm c khoản 11 Điều 4 Thông tư số 121/2017/TT-BTC quy định đây là mức cụ thể (không phải mức tối thiểu); đây là yếu tố bổ sung để điều tiết chênh lệch giữa các khu dân cư, yếu tố chính (mức cơ bản) đã tăng 100% và áp dụng cho tất cả khu dân cư. Tổng mức hỗ trợ đối với khu dân cư thuộc xã khu vực III, khu vực II tăng từ 06 triệu đồng lên 11 triệu đồng/năm (tăng 83%).</w:t>
      </w:r>
    </w:p>
    <w:p w14:paraId="70BF700C" w14:textId="77777777" w:rsidR="008F0AE8" w:rsidRDefault="008F0AE8" w:rsidP="008F0AE8">
      <w:pPr>
        <w:pBdr>
          <w:top w:val="single" w:sz="4" w:space="0" w:color="FFFFFF"/>
          <w:left w:val="single" w:sz="4" w:space="0" w:color="FFFFFF"/>
          <w:bottom w:val="single" w:sz="4" w:space="27" w:color="FFFFFF"/>
          <w:right w:val="single" w:sz="4" w:space="0" w:color="FFFFFF"/>
        </w:pBdr>
        <w:shd w:val="clear" w:color="auto" w:fill="FFFFFF"/>
        <w:spacing w:before="120" w:after="120" w:line="340" w:lineRule="exact"/>
        <w:ind w:firstLine="720"/>
        <w:jc w:val="both"/>
        <w:rPr>
          <w:b/>
        </w:rPr>
      </w:pPr>
      <w:r>
        <w:rPr>
          <w:b/>
        </w:rPr>
        <w:t>4. Nguồn kinh phí và hiệu lực thi hành</w:t>
      </w:r>
    </w:p>
    <w:p w14:paraId="62FDF5CB" w14:textId="77777777" w:rsidR="008F0AE8" w:rsidRDefault="00ED2BF7" w:rsidP="008F0AE8">
      <w:pPr>
        <w:pBdr>
          <w:top w:val="single" w:sz="4" w:space="0" w:color="FFFFFF"/>
          <w:left w:val="single" w:sz="4" w:space="0" w:color="FFFFFF"/>
          <w:bottom w:val="single" w:sz="4" w:space="27" w:color="FFFFFF"/>
          <w:right w:val="single" w:sz="4" w:space="0" w:color="FFFFFF"/>
        </w:pBdr>
        <w:shd w:val="clear" w:color="auto" w:fill="FFFFFF"/>
        <w:spacing w:before="120" w:after="120" w:line="340" w:lineRule="exact"/>
        <w:ind w:firstLine="720"/>
        <w:jc w:val="both"/>
      </w:pPr>
      <w:r>
        <w:t>Nguồn kinh phí do ngân sách tỉnh bảo đảm, bố trí trong dự toán chi thường xuyên hằng năm (giữ nguyên như Nghị quyết số 05/2018/NQ-HĐND). Nghị quyết có hiệu lực từ ngày 01/01/2027 để thống nhất với năm ngân sách và thời điểm áp dụng danh sách thôn, tổ dân phố sau sắp xếp cả năm.</w:t>
      </w:r>
    </w:p>
    <w:p w14:paraId="1B4CC50F" w14:textId="77777777" w:rsidR="008F0AE8" w:rsidRDefault="008F0AE8" w:rsidP="008F0AE8">
      <w:pPr>
        <w:pBdr>
          <w:top w:val="single" w:sz="4" w:space="0" w:color="FFFFFF"/>
          <w:left w:val="single" w:sz="4" w:space="0" w:color="FFFFFF"/>
          <w:bottom w:val="single" w:sz="4" w:space="27" w:color="FFFFFF"/>
          <w:right w:val="single" w:sz="4" w:space="0" w:color="FFFFFF"/>
        </w:pBdr>
        <w:shd w:val="clear" w:color="auto" w:fill="FFFFFF"/>
        <w:spacing w:before="120" w:after="120" w:line="340" w:lineRule="exact"/>
        <w:ind w:firstLine="720"/>
        <w:jc w:val="both"/>
        <w:rPr>
          <w:b/>
        </w:rPr>
      </w:pPr>
      <w:r>
        <w:rPr>
          <w:b/>
        </w:rPr>
        <w:t>5. Dự kiến kinh phí thực hiện</w:t>
      </w:r>
    </w:p>
    <w:p w14:paraId="4940658C" w14:textId="27CB3B5D" w:rsidR="008F0AE8" w:rsidRDefault="00ED2BF7" w:rsidP="008F0AE8">
      <w:pPr>
        <w:pBdr>
          <w:top w:val="single" w:sz="4" w:space="0" w:color="FFFFFF"/>
          <w:left w:val="single" w:sz="4" w:space="0" w:color="FFFFFF"/>
          <w:bottom w:val="single" w:sz="4" w:space="27" w:color="FFFFFF"/>
          <w:right w:val="single" w:sz="4" w:space="0" w:color="FFFFFF"/>
        </w:pBdr>
        <w:shd w:val="clear" w:color="auto" w:fill="FFFFFF"/>
        <w:spacing w:before="120" w:after="120" w:line="340" w:lineRule="exact"/>
        <w:ind w:firstLine="720"/>
        <w:jc w:val="both"/>
      </w:pPr>
      <w:r>
        <w:lastRenderedPageBreak/>
        <w:t>Trên cơ sở 65 xã, phường (51 xã khu vực III, khu vực II; 14 xã, phường khu vực I) và 923 thôn, tổ dân phố (trong đó 662 thôn thuộc xã khu vực III, khu vực II), nhu cầu kinh phí thực hiện từ năm 2027 khoảng 13.00</w:t>
      </w:r>
      <w:r w:rsidR="008F0AE8">
        <w:t>4</w:t>
      </w:r>
      <w:r>
        <w:t xml:space="preserve"> triệu đồng/năm, gồm: hỗ trợ Ủy ban Mặt trận Tổ quốc Việt Nam cấp xã 3.110 triệu đồng; hỗ trợ Ban công tác Mặt trận ở khu dân cư 9.89</w:t>
      </w:r>
      <w:r w:rsidR="008F0AE8">
        <w:t>4</w:t>
      </w:r>
      <w:r>
        <w:t xml:space="preserve"> triệu đồng (chi tiết tại Biểu số 01 kèm theo).</w:t>
      </w:r>
    </w:p>
    <w:p w14:paraId="4C49703D" w14:textId="1CF8A017" w:rsidR="00501BC4" w:rsidRDefault="00501BC4" w:rsidP="00501BC4">
      <w:pPr>
        <w:pBdr>
          <w:top w:val="single" w:sz="4" w:space="0" w:color="FFFFFF"/>
          <w:left w:val="single" w:sz="4" w:space="0" w:color="FFFFFF"/>
          <w:bottom w:val="single" w:sz="4" w:space="27" w:color="FFFFFF"/>
          <w:right w:val="single" w:sz="4" w:space="0" w:color="FFFFFF"/>
        </w:pBdr>
        <w:shd w:val="clear" w:color="auto" w:fill="FFFFFF"/>
        <w:spacing w:before="120" w:after="120" w:line="340" w:lineRule="exact"/>
        <w:ind w:firstLine="720"/>
        <w:jc w:val="both"/>
      </w:pPr>
      <w:r>
        <w:t>Trường hợp giữ nguyên mức hỗ trợ theo Nghị quyết số 05/2018/NQ-HĐND và tính trên số lượng xã, thôn năm 2027</w:t>
      </w:r>
      <w:r>
        <w:rPr>
          <w:rStyle w:val="ThamchiuCcchu"/>
        </w:rPr>
        <w:footnoteReference w:id="4"/>
      </w:r>
      <w:r>
        <w:t>, kinh phí năm 2027 là 6.834 triệu đồng, gồm: hỗ trợ Ủy ban Mặt trận Tổ quốc Việt Nam cấp xã 1.555 triệu đồng; hỗ trợ Ban công tác Mặt trận ở khu dân cư 5.279 triệu đồng. Theo mức đề xuất, kinh phí năm 2027 là 13.004 triệu đồng, tăng 6.170 triệu đồng (gấp 1,9 lần) so với giữ nguyên mức cũ, trong đó: tăng do điều chỉnh mức hỗ trợ Ủy ban Mặt trận Tổ quốc Việt Nam cấp xã 1.555 triệu đồng; tăng do điều chỉnh mức hỗ trợ cơ bản đối với khu dân cư 4.615 triệu đồng; các khoản hỗ trợ thêm theo quy mô hộ dân và theo địa bàn khó khăn giữ nguyên mức (664 triệu đồng) nên không làm tăng kinh phí. Phần kinh phí tăng thêm do điều chỉnh định mức được cân đối trong phạm vi phần kinh phí giảm do sắp xếp đơn vị hành chính cấp xã và thôn, tổ dân phố, nên tổng nhu cầu năm 2027 vẫn thấp hơn mức bố trí năm 2025.</w:t>
      </w:r>
    </w:p>
    <w:p w14:paraId="1A6B83B8" w14:textId="14FBE710" w:rsidR="008F0AE8" w:rsidRDefault="00ED2BF7" w:rsidP="008F0AE8">
      <w:pPr>
        <w:pBdr>
          <w:top w:val="single" w:sz="4" w:space="0" w:color="FFFFFF"/>
          <w:left w:val="single" w:sz="4" w:space="0" w:color="FFFFFF"/>
          <w:bottom w:val="single" w:sz="4" w:space="27" w:color="FFFFFF"/>
          <w:right w:val="single" w:sz="4" w:space="0" w:color="FFFFFF"/>
        </w:pBdr>
        <w:shd w:val="clear" w:color="auto" w:fill="FFFFFF"/>
        <w:spacing w:before="120" w:after="120" w:line="340" w:lineRule="exact"/>
        <w:ind w:firstLine="720"/>
        <w:jc w:val="both"/>
      </w:pPr>
      <w:r>
        <w:t>So với năm 2025 (13.844 triệu đồng), nhu cầu kinh phí giảm 841 triệu đồng (giảm 6,1%); so với bình quân giai đoạn 2022 - 2025 (13.905 triệu đồng/năm) giảm 902 triệu đồng/năm. Mặc dù các định mức hỗ trợ đều tăng, tổng kinh phí vẫn thấp hơn giai đoạn trước do số xã, số khu dân cư giảm sau sắp xếp. So với kinh phí năm 2026 tính lại (8.90</w:t>
      </w:r>
      <w:r w:rsidR="008F0AE8">
        <w:t>9</w:t>
      </w:r>
      <w:r>
        <w:t>,5 triệu đồng), nhu cầu tăng 4.09</w:t>
      </w:r>
      <w:r w:rsidR="008F0AE8">
        <w:t>4</w:t>
      </w:r>
      <w:r>
        <w:t>,5 triệu đồng, chủ yếu do điều chỉnh tăng định mức. Việc bố trí kinh phí thực hiện được xem xét trong quá trình xây dựng, phân bổ dự toán ngân sách tỉnh hằng năm theo quy định.</w:t>
      </w:r>
    </w:p>
    <w:p w14:paraId="0291B75E" w14:textId="75856B1F" w:rsidR="00920441" w:rsidRDefault="00ED2BF7" w:rsidP="008F0AE8">
      <w:pPr>
        <w:pBdr>
          <w:top w:val="single" w:sz="4" w:space="0" w:color="FFFFFF"/>
          <w:left w:val="single" w:sz="4" w:space="0" w:color="FFFFFF"/>
          <w:bottom w:val="single" w:sz="4" w:space="27" w:color="FFFFFF"/>
          <w:right w:val="single" w:sz="4" w:space="0" w:color="FFFFFF"/>
        </w:pBdr>
        <w:shd w:val="clear" w:color="auto" w:fill="FFFFFF"/>
        <w:spacing w:before="120" w:after="120" w:line="340" w:lineRule="exact"/>
        <w:ind w:firstLine="720"/>
        <w:jc w:val="both"/>
      </w:pPr>
      <w:r>
        <w:t>Trên đây là báo cáo đánh giá tình hình thực hiện Nghị quyết số 05/2018/NQ-HĐND và đề xuất nội dung Nghị quyết thay thế, Sở Tài chính trân trọng báo cáo./.</w:t>
      </w:r>
    </w:p>
    <w:tbl>
      <w:tblPr>
        <w:tblW w:w="9072" w:type="dxa"/>
        <w:tblBorders>
          <w:top w:val="nil"/>
          <w:left w:val="nil"/>
          <w:bottom w:val="nil"/>
          <w:right w:val="nil"/>
          <w:insideH w:val="nil"/>
          <w:insideV w:val="nil"/>
        </w:tblBorders>
        <w:tblLayout w:type="fixed"/>
        <w:tblLook w:val="04A0" w:firstRow="1" w:lastRow="0" w:firstColumn="1" w:lastColumn="0" w:noHBand="0" w:noVBand="1"/>
      </w:tblPr>
      <w:tblGrid>
        <w:gridCol w:w="4820"/>
        <w:gridCol w:w="4252"/>
      </w:tblGrid>
      <w:tr w:rsidR="00920441" w14:paraId="38F9A9D3" w14:textId="77777777">
        <w:tc>
          <w:tcPr>
            <w:tcW w:w="4819" w:type="dxa"/>
          </w:tcPr>
          <w:p w14:paraId="2B3454CF" w14:textId="77777777" w:rsidR="00920441" w:rsidRDefault="00ED2BF7">
            <w:r>
              <w:rPr>
                <w:b/>
                <w:i/>
                <w:sz w:val="24"/>
              </w:rPr>
              <w:t>Nơi nhận:</w:t>
            </w:r>
          </w:p>
          <w:p w14:paraId="11A663DE" w14:textId="77777777" w:rsidR="00920441" w:rsidRDefault="00ED2BF7">
            <w:r>
              <w:rPr>
                <w:sz w:val="22"/>
              </w:rPr>
              <w:t>- UBND tỉnh (báo cáo);</w:t>
            </w:r>
          </w:p>
          <w:p w14:paraId="3751FDE3" w14:textId="77777777" w:rsidR="00920441" w:rsidRDefault="00ED2BF7">
            <w:r>
              <w:rPr>
                <w:sz w:val="22"/>
              </w:rPr>
              <w:t>- Ban KTNS - HĐND tỉnh;</w:t>
            </w:r>
          </w:p>
          <w:p w14:paraId="5F85B6D1" w14:textId="77777777" w:rsidR="00920441" w:rsidRDefault="00ED2BF7">
            <w:r>
              <w:rPr>
                <w:sz w:val="22"/>
              </w:rPr>
              <w:t>- Sở Tư pháp;</w:t>
            </w:r>
          </w:p>
          <w:p w14:paraId="27C36976" w14:textId="77777777" w:rsidR="00920441" w:rsidRDefault="00ED2BF7">
            <w:r>
              <w:rPr>
                <w:sz w:val="22"/>
              </w:rPr>
              <w:t>- Ủy ban MTTQ Việt Nam tỉnh;</w:t>
            </w:r>
          </w:p>
          <w:p w14:paraId="0EB19F2C" w14:textId="77777777" w:rsidR="00920441" w:rsidRDefault="00ED2BF7">
            <w:r>
              <w:rPr>
                <w:sz w:val="22"/>
              </w:rPr>
              <w:t>- UBND các xã, phường;</w:t>
            </w:r>
          </w:p>
          <w:p w14:paraId="4F342384" w14:textId="77777777" w:rsidR="00920441" w:rsidRDefault="00ED2BF7">
            <w:r>
              <w:rPr>
                <w:sz w:val="22"/>
              </w:rPr>
              <w:t>- Lãnh đạo Sở;</w:t>
            </w:r>
          </w:p>
          <w:p w14:paraId="1E435233" w14:textId="77777777" w:rsidR="00920441" w:rsidRDefault="00ED2BF7">
            <w:r>
              <w:rPr>
                <w:sz w:val="22"/>
              </w:rPr>
              <w:t>- Lưu: VT, QLNS.</w:t>
            </w:r>
          </w:p>
        </w:tc>
        <w:tc>
          <w:tcPr>
            <w:tcW w:w="4252" w:type="dxa"/>
          </w:tcPr>
          <w:p w14:paraId="17B540CD" w14:textId="77777777" w:rsidR="00920441" w:rsidRDefault="00ED2BF7">
            <w:pPr>
              <w:jc w:val="center"/>
            </w:pPr>
            <w:r>
              <w:rPr>
                <w:b/>
              </w:rPr>
              <w:t>GIÁM ĐỐC</w:t>
            </w:r>
          </w:p>
          <w:p w14:paraId="1F83BCE2" w14:textId="77777777" w:rsidR="00920441" w:rsidRDefault="00920441">
            <w:pPr>
              <w:jc w:val="center"/>
            </w:pPr>
          </w:p>
          <w:p w14:paraId="1BF1FDB9" w14:textId="77777777" w:rsidR="00920441" w:rsidRDefault="00920441">
            <w:pPr>
              <w:jc w:val="center"/>
            </w:pPr>
          </w:p>
          <w:p w14:paraId="0698231E" w14:textId="77777777" w:rsidR="00501BC4" w:rsidRDefault="00501BC4">
            <w:pPr>
              <w:jc w:val="center"/>
            </w:pPr>
          </w:p>
          <w:p w14:paraId="1BEE0415" w14:textId="77777777" w:rsidR="00501BC4" w:rsidRDefault="00501BC4">
            <w:pPr>
              <w:jc w:val="center"/>
            </w:pPr>
          </w:p>
          <w:p w14:paraId="58BD3D2C" w14:textId="77777777" w:rsidR="00920441" w:rsidRDefault="00920441">
            <w:pPr>
              <w:jc w:val="center"/>
            </w:pPr>
          </w:p>
          <w:p w14:paraId="6EE0967A" w14:textId="77777777" w:rsidR="00920441" w:rsidRDefault="00ED2BF7">
            <w:pPr>
              <w:jc w:val="center"/>
            </w:pPr>
            <w:r>
              <w:rPr>
                <w:b/>
              </w:rPr>
              <w:t>Phan Hồng Tiến</w:t>
            </w:r>
          </w:p>
        </w:tc>
      </w:tr>
    </w:tbl>
    <w:p w14:paraId="5CF4E5E2" w14:textId="77777777" w:rsidR="003510FE" w:rsidRDefault="003510FE"/>
    <w:sectPr w:rsidR="003510FE" w:rsidSect="00034616">
      <w:headerReference w:type="default" r:id="rId8"/>
      <w:pgSz w:w="11906" w:h="16838"/>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929262" w14:textId="77777777" w:rsidR="00971975" w:rsidRDefault="00971975">
      <w:r>
        <w:separator/>
      </w:r>
    </w:p>
  </w:endnote>
  <w:endnote w:type="continuationSeparator" w:id="0">
    <w:p w14:paraId="403FE22E" w14:textId="77777777" w:rsidR="00971975" w:rsidRDefault="009719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1ED32" w14:textId="77777777" w:rsidR="00971975" w:rsidRDefault="00971975">
      <w:r>
        <w:separator/>
      </w:r>
    </w:p>
  </w:footnote>
  <w:footnote w:type="continuationSeparator" w:id="0">
    <w:p w14:paraId="1EC11394" w14:textId="77777777" w:rsidR="00971975" w:rsidRDefault="00971975">
      <w:r>
        <w:continuationSeparator/>
      </w:r>
    </w:p>
  </w:footnote>
  <w:footnote w:id="1">
    <w:p w14:paraId="0F9588F1" w14:textId="0F22AE90" w:rsidR="00BB2C6D" w:rsidRDefault="00BB2C6D" w:rsidP="00BB2C6D">
      <w:pPr>
        <w:pStyle w:val="VnbanCcchu"/>
        <w:ind w:firstLine="720"/>
        <w:jc w:val="both"/>
      </w:pPr>
      <w:r>
        <w:rPr>
          <w:rStyle w:val="ThamchiuCcchu"/>
        </w:rPr>
        <w:footnoteRef/>
      </w:r>
      <w:r>
        <w:t xml:space="preserve"> </w:t>
      </w:r>
      <w:r w:rsidRPr="00BB2C6D">
        <w:t>Nghị quyết số 29/NQ-HĐND ngày 10/12/2018 của HĐND tỉnh về việc nhập thôn, khối phố trên địa bàn tỉnh Lạng Sơn (nhập 537 thôn, khối phố thành 249 thôn, khối phố, giảm 288, còn 2.026 thôn, khối phố); Nghị quyết số 64/NQ-HĐND ngày 10/12/2019 của HĐND tỉnh về việc sáp nhập, đặt tên thôn, tổ dân phố trên địa bàn tỉnh Lạng Sơn (giảm 176, còn 1.850 thôn, tổ dân phố); Nghị quyết số 48/NQ-HĐND ngày 14/12/2020 của HĐND tỉnh về việc sáp nhập, giải thể, đổi tên thôn, tổ dân phố trên địa bàn tỉnh Lạng Sơn (giảm 145, còn 1.705 thôn, tổ dân phố).</w:t>
      </w:r>
    </w:p>
  </w:footnote>
  <w:footnote w:id="2">
    <w:p w14:paraId="384FBFF3" w14:textId="2F2BB1FA" w:rsidR="00BB2C6D" w:rsidRDefault="00BB2C6D" w:rsidP="00BB2C6D">
      <w:pPr>
        <w:pStyle w:val="VnbanCcchu"/>
        <w:ind w:firstLine="720"/>
        <w:jc w:val="both"/>
      </w:pPr>
      <w:r>
        <w:rPr>
          <w:rStyle w:val="ThamchiuCcchu"/>
        </w:rPr>
        <w:footnoteRef/>
      </w:r>
      <w:r>
        <w:t xml:space="preserve"> </w:t>
      </w:r>
      <w:r w:rsidRPr="00BB2C6D">
        <w:t>Nghị quyết số 855/NQ-UBTVQH14 ngày 10/01/2020 của Ủy ban Thường vụ Quốc hội về việc sắp xếp các đơn vị hành chính cấp huyện, cấp xã thuộc tỉnh Lạng Sơn.</w:t>
      </w:r>
    </w:p>
  </w:footnote>
  <w:footnote w:id="3">
    <w:p w14:paraId="46288DCF" w14:textId="59F28BB3" w:rsidR="00BB2C6D" w:rsidRDefault="00BB2C6D" w:rsidP="006672D3">
      <w:pPr>
        <w:pStyle w:val="VnbanCcchu"/>
        <w:ind w:firstLine="720"/>
        <w:jc w:val="both"/>
      </w:pPr>
      <w:r>
        <w:rPr>
          <w:rStyle w:val="ThamchiuCcchu"/>
        </w:rPr>
        <w:footnoteRef/>
      </w:r>
      <w:r>
        <w:t xml:space="preserve"> </w:t>
      </w:r>
      <w:r w:rsidRPr="00BB2C6D">
        <w:t>Nghị quyết số 57/NQ-HĐND ngày 09/12/2021 của HĐND tỉnh về việc sáp nhập, giải thể, đổi tên thôn, tổ dân phố trên địa bàn tỉnh Lạng Sơn (giảm 29, còn 1.676 thôn, tổ dân phố); Nghị quyết số 37/NQ-HĐND ngày 10/12/2022 của HĐND tỉnh về việc sáp nhập, giải thể thôn trên địa bàn tỉnh Lạng Sơn (giảm 18, còn 1.658 thôn, tổ dân phố); Nghị quyết số 38/NQ-HĐND ngày 14/11/2023 của HĐND tỉnh về việc sáp nhập, đổi tên thôn, tổ dân phố trên địa bàn tỉnh Lạng Sơn (giảm 12, còn 1.646 thôn, tổ dân phố).</w:t>
      </w:r>
    </w:p>
  </w:footnote>
  <w:footnote w:id="4">
    <w:p w14:paraId="666788EC" w14:textId="4FE2C06F" w:rsidR="00501BC4" w:rsidRDefault="00501BC4" w:rsidP="00501BC4">
      <w:pPr>
        <w:pStyle w:val="VnbanCcchu"/>
        <w:ind w:firstLine="720"/>
      </w:pPr>
      <w:r>
        <w:rPr>
          <w:rStyle w:val="ThamchiuCcchu"/>
        </w:rPr>
        <w:footnoteRef/>
      </w:r>
      <w:r>
        <w:t xml:space="preserve"> 51 xã khu vực III, khu vực II; 14 xã, phường khu vực I; 923 thôn, tổ dân phố, trong đó 662 thôn thuộc xã khu vực III, khu vực II và 01 khu dân cư có quy mô 1.179 hộ dân.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E3FE69" w14:textId="77777777" w:rsidR="00920441" w:rsidRDefault="00ED2BF7">
    <w:pPr>
      <w:pStyle w:val="utrang"/>
      <w:jc w:val="center"/>
    </w:pPr>
    <w:r>
      <w:rPr>
        <w:sz w:val="26"/>
      </w:rPr>
      <w:fldChar w:fldCharType="begin"/>
    </w:r>
    <w:r>
      <w:rPr>
        <w:sz w:val="26"/>
      </w:rPr>
      <w:instrText>PAGE</w:instrText>
    </w:r>
    <w:r>
      <w:rPr>
        <w:sz w:val="26"/>
      </w:rPr>
      <w:fldChar w:fldCharType="separate"/>
    </w:r>
    <w:r w:rsidR="00ED6C64">
      <w:rPr>
        <w:noProof/>
        <w:sz w:val="26"/>
      </w:rPr>
      <w:t>9</w:t>
    </w:r>
    <w:r>
      <w:rPr>
        <w:sz w:val="2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udo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udo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Duudong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Duudong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udo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Duudong"/>
      <w:lvlText w:val=""/>
      <w:lvlJc w:val="left"/>
      <w:pPr>
        <w:tabs>
          <w:tab w:val="num" w:pos="360"/>
        </w:tabs>
        <w:ind w:left="360" w:hanging="360"/>
      </w:pPr>
      <w:rPr>
        <w:rFonts w:ascii="Symbol" w:hAnsi="Symbol" w:hint="default"/>
      </w:rPr>
    </w:lvl>
  </w:abstractNum>
  <w:num w:numId="1" w16cid:durableId="2053914970">
    <w:abstractNumId w:val="8"/>
  </w:num>
  <w:num w:numId="2" w16cid:durableId="850146174">
    <w:abstractNumId w:val="6"/>
  </w:num>
  <w:num w:numId="3" w16cid:durableId="1245800595">
    <w:abstractNumId w:val="5"/>
  </w:num>
  <w:num w:numId="4" w16cid:durableId="2141727158">
    <w:abstractNumId w:val="4"/>
  </w:num>
  <w:num w:numId="5" w16cid:durableId="1885437033">
    <w:abstractNumId w:val="7"/>
  </w:num>
  <w:num w:numId="6" w16cid:durableId="1124037570">
    <w:abstractNumId w:val="3"/>
  </w:num>
  <w:num w:numId="7" w16cid:durableId="717514379">
    <w:abstractNumId w:val="2"/>
  </w:num>
  <w:num w:numId="8" w16cid:durableId="1270234411">
    <w:abstractNumId w:val="1"/>
  </w:num>
  <w:num w:numId="9" w16cid:durableId="407776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348D"/>
    <w:rsid w:val="000A6594"/>
    <w:rsid w:val="0015074B"/>
    <w:rsid w:val="0029639D"/>
    <w:rsid w:val="00316D7E"/>
    <w:rsid w:val="00326F90"/>
    <w:rsid w:val="003510FE"/>
    <w:rsid w:val="004E3E3F"/>
    <w:rsid w:val="00501BC4"/>
    <w:rsid w:val="005B5AEF"/>
    <w:rsid w:val="005F6592"/>
    <w:rsid w:val="006672D3"/>
    <w:rsid w:val="006B58A8"/>
    <w:rsid w:val="008F0AE8"/>
    <w:rsid w:val="008F6BBB"/>
    <w:rsid w:val="00920441"/>
    <w:rsid w:val="00936DEC"/>
    <w:rsid w:val="00971975"/>
    <w:rsid w:val="009B65A6"/>
    <w:rsid w:val="00A908E8"/>
    <w:rsid w:val="00AA1D8D"/>
    <w:rsid w:val="00B47730"/>
    <w:rsid w:val="00B50A44"/>
    <w:rsid w:val="00BB2C6D"/>
    <w:rsid w:val="00C12FF5"/>
    <w:rsid w:val="00C16D50"/>
    <w:rsid w:val="00CB0664"/>
    <w:rsid w:val="00D51E07"/>
    <w:rsid w:val="00ED2BF7"/>
    <w:rsid w:val="00ED6C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863FE7"/>
  <w14:defaultImageDpi w14:val="300"/>
  <w15:docId w15:val="{E698E4B5-EBD1-4DE6-A796-2C5886B35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FC693F"/>
    <w:pPr>
      <w:spacing w:after="0" w:line="240" w:lineRule="auto"/>
    </w:pPr>
    <w:rPr>
      <w:rFonts w:ascii="Times New Roman" w:eastAsia="Times New Roman" w:hAnsi="Times New Roman"/>
      <w:sz w:val="28"/>
    </w:rPr>
  </w:style>
  <w:style w:type="paragraph" w:styleId="u1">
    <w:name w:val="heading 1"/>
    <w:basedOn w:val="Binhthng"/>
    <w:next w:val="Binhthng"/>
    <w:link w:val="u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Cs w:val="28"/>
    </w:rPr>
  </w:style>
  <w:style w:type="paragraph" w:styleId="u2">
    <w:name w:val="heading 2"/>
    <w:basedOn w:val="Binhthng"/>
    <w:next w:val="Binhthng"/>
    <w:link w:val="u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u3">
    <w:name w:val="heading 3"/>
    <w:basedOn w:val="Binhthng"/>
    <w:next w:val="Binhthng"/>
    <w:link w:val="u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u4">
    <w:name w:val="heading 4"/>
    <w:basedOn w:val="Binhthng"/>
    <w:next w:val="Binhthng"/>
    <w:link w:val="u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u5">
    <w:name w:val="heading 5"/>
    <w:basedOn w:val="Binhthng"/>
    <w:next w:val="Binhthng"/>
    <w:link w:val="u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u6">
    <w:name w:val="heading 6"/>
    <w:basedOn w:val="Binhthng"/>
    <w:next w:val="Binhthng"/>
    <w:link w:val="u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u7">
    <w:name w:val="heading 7"/>
    <w:basedOn w:val="Binhthng"/>
    <w:next w:val="Binhthng"/>
    <w:link w:val="u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u8">
    <w:name w:val="heading 8"/>
    <w:basedOn w:val="Binhthng"/>
    <w:next w:val="Binhthng"/>
    <w:link w:val="u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u9">
    <w:name w:val="heading 9"/>
    <w:basedOn w:val="Binhthng"/>
    <w:next w:val="Binhthng"/>
    <w:link w:val="u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utrang">
    <w:name w:val="header"/>
    <w:basedOn w:val="Binhthng"/>
    <w:link w:val="utrangChar"/>
    <w:uiPriority w:val="99"/>
    <w:unhideWhenUsed/>
    <w:rsid w:val="00E618BF"/>
    <w:pPr>
      <w:tabs>
        <w:tab w:val="center" w:pos="4680"/>
        <w:tab w:val="right" w:pos="9360"/>
      </w:tabs>
    </w:pPr>
  </w:style>
  <w:style w:type="character" w:customStyle="1" w:styleId="utrangChar">
    <w:name w:val="Đầu trang Char"/>
    <w:basedOn w:val="Phngmcinhcuaoanvn"/>
    <w:link w:val="utrang"/>
    <w:uiPriority w:val="99"/>
    <w:rsid w:val="00E618BF"/>
  </w:style>
  <w:style w:type="paragraph" w:styleId="Chntrang">
    <w:name w:val="footer"/>
    <w:basedOn w:val="Binhthng"/>
    <w:link w:val="ChntrangChar"/>
    <w:uiPriority w:val="99"/>
    <w:unhideWhenUsed/>
    <w:rsid w:val="00E618BF"/>
    <w:pPr>
      <w:tabs>
        <w:tab w:val="center" w:pos="4680"/>
        <w:tab w:val="right" w:pos="9360"/>
      </w:tabs>
    </w:pPr>
  </w:style>
  <w:style w:type="character" w:customStyle="1" w:styleId="ChntrangChar">
    <w:name w:val="Chân trang Char"/>
    <w:basedOn w:val="Phngmcinhcuaoanvn"/>
    <w:link w:val="Chntrang"/>
    <w:uiPriority w:val="99"/>
    <w:rsid w:val="00E618BF"/>
  </w:style>
  <w:style w:type="paragraph" w:styleId="KhngDncch">
    <w:name w:val="No Spacing"/>
    <w:uiPriority w:val="1"/>
    <w:qFormat/>
    <w:rsid w:val="00FC693F"/>
    <w:pPr>
      <w:spacing w:after="0" w:line="240" w:lineRule="auto"/>
    </w:pPr>
  </w:style>
  <w:style w:type="character" w:customStyle="1" w:styleId="u1Char">
    <w:name w:val="Đầu đề 1 Char"/>
    <w:basedOn w:val="Phngmcinhcuaoanvn"/>
    <w:link w:va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u2Char">
    <w:name w:val="Đầu đề 2 Char"/>
    <w:basedOn w:val="Phngmcinhcuaoanvn"/>
    <w:link w:val="u2"/>
    <w:uiPriority w:val="9"/>
    <w:rsid w:val="00FC693F"/>
    <w:rPr>
      <w:rFonts w:asciiTheme="majorHAnsi" w:eastAsiaTheme="majorEastAsia" w:hAnsiTheme="majorHAnsi" w:cstheme="majorBidi"/>
      <w:b/>
      <w:bCs/>
      <w:color w:val="4F81BD" w:themeColor="accent1"/>
      <w:sz w:val="26"/>
      <w:szCs w:val="26"/>
    </w:rPr>
  </w:style>
  <w:style w:type="character" w:customStyle="1" w:styleId="u3Char">
    <w:name w:val="Đầu đề 3 Char"/>
    <w:basedOn w:val="Phngmcinhcuaoanvn"/>
    <w:link w:val="u3"/>
    <w:uiPriority w:val="9"/>
    <w:rsid w:val="00FC693F"/>
    <w:rPr>
      <w:rFonts w:asciiTheme="majorHAnsi" w:eastAsiaTheme="majorEastAsia" w:hAnsiTheme="majorHAnsi" w:cstheme="majorBidi"/>
      <w:b/>
      <w:bCs/>
      <w:color w:val="4F81BD" w:themeColor="accent1"/>
    </w:rPr>
  </w:style>
  <w:style w:type="paragraph" w:styleId="Tiu">
    <w:name w:val="Title"/>
    <w:basedOn w:val="Binhthng"/>
    <w:next w:val="Binhthng"/>
    <w:link w:val="Tiu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uChar">
    <w:name w:val="Tiêu đề Char"/>
    <w:basedOn w:val="Phngmcinhcuaoanvn"/>
    <w:link w:val="Ti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Tiuphu">
    <w:name w:val="Subtitle"/>
    <w:basedOn w:val="Binhthng"/>
    <w:next w:val="Binhthng"/>
    <w:link w:val="Tiuphu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TiuphuChar">
    <w:name w:val="Tiêu đề phụ Char"/>
    <w:basedOn w:val="Phngmcinhcuaoanvn"/>
    <w:link w:val="Tiuphu"/>
    <w:uiPriority w:val="11"/>
    <w:rsid w:val="00FC693F"/>
    <w:rPr>
      <w:rFonts w:asciiTheme="majorHAnsi" w:eastAsiaTheme="majorEastAsia" w:hAnsiTheme="majorHAnsi" w:cstheme="majorBidi"/>
      <w:i/>
      <w:iCs/>
      <w:color w:val="4F81BD" w:themeColor="accent1"/>
      <w:spacing w:val="15"/>
      <w:sz w:val="24"/>
      <w:szCs w:val="24"/>
    </w:rPr>
  </w:style>
  <w:style w:type="paragraph" w:styleId="oancuaDanhsach">
    <w:name w:val="List Paragraph"/>
    <w:basedOn w:val="Binhthng"/>
    <w:uiPriority w:val="34"/>
    <w:qFormat/>
    <w:rsid w:val="00FC693F"/>
    <w:pPr>
      <w:ind w:left="720"/>
      <w:contextualSpacing/>
    </w:pPr>
  </w:style>
  <w:style w:type="paragraph" w:styleId="ThnVnban">
    <w:name w:val="Body Text"/>
    <w:basedOn w:val="Binhthng"/>
    <w:link w:val="ThnVnbanChar"/>
    <w:uiPriority w:val="99"/>
    <w:unhideWhenUsed/>
    <w:rsid w:val="00AA1D8D"/>
    <w:pPr>
      <w:spacing w:after="120"/>
    </w:pPr>
  </w:style>
  <w:style w:type="character" w:customStyle="1" w:styleId="ThnVnbanChar">
    <w:name w:val="Thân Văn bản Char"/>
    <w:basedOn w:val="Phngmcinhcuaoanvn"/>
    <w:link w:val="ThnVnban"/>
    <w:uiPriority w:val="99"/>
    <w:rsid w:val="00AA1D8D"/>
  </w:style>
  <w:style w:type="paragraph" w:styleId="Thnvnban2">
    <w:name w:val="Body Text 2"/>
    <w:basedOn w:val="Binhthng"/>
    <w:link w:val="Thnvnban2Char"/>
    <w:uiPriority w:val="99"/>
    <w:unhideWhenUsed/>
    <w:rsid w:val="00AA1D8D"/>
    <w:pPr>
      <w:spacing w:after="120" w:line="480" w:lineRule="auto"/>
    </w:pPr>
  </w:style>
  <w:style w:type="character" w:customStyle="1" w:styleId="Thnvnban2Char">
    <w:name w:val="Thân văn bản 2 Char"/>
    <w:basedOn w:val="Phngmcinhcuaoanvn"/>
    <w:link w:val="Thnvnban2"/>
    <w:uiPriority w:val="99"/>
    <w:rsid w:val="00AA1D8D"/>
  </w:style>
  <w:style w:type="paragraph" w:styleId="Thnvnban3">
    <w:name w:val="Body Text 3"/>
    <w:basedOn w:val="Binhthng"/>
    <w:link w:val="Thnvnban3Char"/>
    <w:uiPriority w:val="99"/>
    <w:unhideWhenUsed/>
    <w:rsid w:val="00AA1D8D"/>
    <w:pPr>
      <w:spacing w:after="120"/>
    </w:pPr>
    <w:rPr>
      <w:sz w:val="16"/>
      <w:szCs w:val="16"/>
    </w:rPr>
  </w:style>
  <w:style w:type="character" w:customStyle="1" w:styleId="Thnvnban3Char">
    <w:name w:val="Thân văn bản 3 Char"/>
    <w:basedOn w:val="Phngmcinhcuaoanvn"/>
    <w:link w:val="Thnvnban3"/>
    <w:uiPriority w:val="99"/>
    <w:rsid w:val="00AA1D8D"/>
    <w:rPr>
      <w:sz w:val="16"/>
      <w:szCs w:val="16"/>
    </w:rPr>
  </w:style>
  <w:style w:type="paragraph" w:styleId="Danhsach">
    <w:name w:val="List"/>
    <w:basedOn w:val="Binhthng"/>
    <w:uiPriority w:val="99"/>
    <w:unhideWhenUsed/>
    <w:rsid w:val="00AA1D8D"/>
    <w:pPr>
      <w:ind w:left="360" w:hanging="360"/>
      <w:contextualSpacing/>
    </w:pPr>
  </w:style>
  <w:style w:type="paragraph" w:styleId="Danhsach2">
    <w:name w:val="List 2"/>
    <w:basedOn w:val="Binhthng"/>
    <w:uiPriority w:val="99"/>
    <w:unhideWhenUsed/>
    <w:rsid w:val="00326F90"/>
    <w:pPr>
      <w:ind w:left="720" w:hanging="360"/>
      <w:contextualSpacing/>
    </w:pPr>
  </w:style>
  <w:style w:type="paragraph" w:styleId="Danhsach3">
    <w:name w:val="List 3"/>
    <w:basedOn w:val="Binhthng"/>
    <w:uiPriority w:val="99"/>
    <w:unhideWhenUsed/>
    <w:rsid w:val="00326F90"/>
    <w:pPr>
      <w:ind w:left="1080" w:hanging="360"/>
      <w:contextualSpacing/>
    </w:pPr>
  </w:style>
  <w:style w:type="paragraph" w:styleId="Duudong">
    <w:name w:val="List Bullet"/>
    <w:basedOn w:val="Binhthng"/>
    <w:uiPriority w:val="99"/>
    <w:unhideWhenUsed/>
    <w:rsid w:val="00326F90"/>
    <w:pPr>
      <w:numPr>
        <w:numId w:val="1"/>
      </w:numPr>
      <w:contextualSpacing/>
    </w:pPr>
  </w:style>
  <w:style w:type="paragraph" w:styleId="Duudong2">
    <w:name w:val="List Bullet 2"/>
    <w:basedOn w:val="Binhthng"/>
    <w:uiPriority w:val="99"/>
    <w:unhideWhenUsed/>
    <w:rsid w:val="00326F90"/>
    <w:pPr>
      <w:numPr>
        <w:numId w:val="2"/>
      </w:numPr>
      <w:contextualSpacing/>
    </w:pPr>
  </w:style>
  <w:style w:type="paragraph" w:styleId="Duudong3">
    <w:name w:val="List Bullet 3"/>
    <w:basedOn w:val="Binhthng"/>
    <w:uiPriority w:val="99"/>
    <w:unhideWhenUsed/>
    <w:rsid w:val="00326F90"/>
    <w:pPr>
      <w:numPr>
        <w:numId w:val="3"/>
      </w:numPr>
      <w:contextualSpacing/>
    </w:pPr>
  </w:style>
  <w:style w:type="paragraph" w:styleId="Sudong">
    <w:name w:val="List Number"/>
    <w:basedOn w:val="Binhthng"/>
    <w:uiPriority w:val="99"/>
    <w:unhideWhenUsed/>
    <w:rsid w:val="00326F90"/>
    <w:pPr>
      <w:numPr>
        <w:numId w:val="5"/>
      </w:numPr>
      <w:contextualSpacing/>
    </w:pPr>
  </w:style>
  <w:style w:type="paragraph" w:styleId="Sudong2">
    <w:name w:val="List Number 2"/>
    <w:basedOn w:val="Binhthng"/>
    <w:uiPriority w:val="99"/>
    <w:unhideWhenUsed/>
    <w:rsid w:val="0029639D"/>
    <w:pPr>
      <w:numPr>
        <w:numId w:val="6"/>
      </w:numPr>
      <w:contextualSpacing/>
    </w:pPr>
  </w:style>
  <w:style w:type="paragraph" w:styleId="Sudong3">
    <w:name w:val="List Number 3"/>
    <w:basedOn w:val="Binhthng"/>
    <w:uiPriority w:val="99"/>
    <w:unhideWhenUsed/>
    <w:rsid w:val="0029639D"/>
    <w:pPr>
      <w:numPr>
        <w:numId w:val="7"/>
      </w:numPr>
      <w:contextualSpacing/>
    </w:pPr>
  </w:style>
  <w:style w:type="paragraph" w:styleId="Danhsachlintuc">
    <w:name w:val="List Continue"/>
    <w:basedOn w:val="Binhthng"/>
    <w:uiPriority w:val="99"/>
    <w:unhideWhenUsed/>
    <w:rsid w:val="0029639D"/>
    <w:pPr>
      <w:spacing w:after="120"/>
      <w:ind w:left="360"/>
      <w:contextualSpacing/>
    </w:pPr>
  </w:style>
  <w:style w:type="paragraph" w:styleId="Danhsachlintuc2">
    <w:name w:val="List Continue 2"/>
    <w:basedOn w:val="Binhthng"/>
    <w:uiPriority w:val="99"/>
    <w:unhideWhenUsed/>
    <w:rsid w:val="0029639D"/>
    <w:pPr>
      <w:spacing w:after="120"/>
      <w:ind w:left="720"/>
      <w:contextualSpacing/>
    </w:pPr>
  </w:style>
  <w:style w:type="paragraph" w:styleId="Danhsachlintuc3">
    <w:name w:val="List Continue 3"/>
    <w:basedOn w:val="Binhthng"/>
    <w:uiPriority w:val="99"/>
    <w:unhideWhenUsed/>
    <w:rsid w:val="0029639D"/>
    <w:pPr>
      <w:spacing w:after="120"/>
      <w:ind w:left="1080"/>
      <w:contextualSpacing/>
    </w:pPr>
  </w:style>
  <w:style w:type="paragraph" w:styleId="VnbanMacro">
    <w:name w:val="macro"/>
    <w:link w:val="Vnban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VnbanMacroChar">
    <w:name w:val="Văn bản Macro Char"/>
    <w:basedOn w:val="Phngmcinhcuaoanvn"/>
    <w:link w:val="VnbanMacro"/>
    <w:uiPriority w:val="99"/>
    <w:rsid w:val="0029639D"/>
    <w:rPr>
      <w:rFonts w:ascii="Courier" w:hAnsi="Courier"/>
      <w:sz w:val="20"/>
      <w:szCs w:val="20"/>
    </w:rPr>
  </w:style>
  <w:style w:type="paragraph" w:styleId="Litrichdn">
    <w:name w:val="Quote"/>
    <w:basedOn w:val="Binhthng"/>
    <w:next w:val="Binhthng"/>
    <w:link w:val="LitrichdnChar"/>
    <w:uiPriority w:val="29"/>
    <w:qFormat/>
    <w:rsid w:val="00FC693F"/>
    <w:rPr>
      <w:i/>
      <w:iCs/>
      <w:color w:val="000000" w:themeColor="text1"/>
    </w:rPr>
  </w:style>
  <w:style w:type="character" w:customStyle="1" w:styleId="LitrichdnChar">
    <w:name w:val="Lời trích dẫn Char"/>
    <w:basedOn w:val="Phngmcinhcuaoanvn"/>
    <w:link w:val="Litrichdn"/>
    <w:uiPriority w:val="29"/>
    <w:rsid w:val="00FC693F"/>
    <w:rPr>
      <w:i/>
      <w:iCs/>
      <w:color w:val="000000" w:themeColor="text1"/>
    </w:rPr>
  </w:style>
  <w:style w:type="character" w:customStyle="1" w:styleId="u4Char">
    <w:name w:val="Đầu đề 4 Char"/>
    <w:basedOn w:val="Phngmcinhcuaoanvn"/>
    <w:link w:val="u4"/>
    <w:uiPriority w:val="9"/>
    <w:semiHidden/>
    <w:rsid w:val="00FC693F"/>
    <w:rPr>
      <w:rFonts w:asciiTheme="majorHAnsi" w:eastAsiaTheme="majorEastAsia" w:hAnsiTheme="majorHAnsi" w:cstheme="majorBidi"/>
      <w:b/>
      <w:bCs/>
      <w:i/>
      <w:iCs/>
      <w:color w:val="4F81BD" w:themeColor="accent1"/>
    </w:rPr>
  </w:style>
  <w:style w:type="character" w:customStyle="1" w:styleId="u5Char">
    <w:name w:val="Đầu đề 5 Char"/>
    <w:basedOn w:val="Phngmcinhcuaoanvn"/>
    <w:link w:val="u5"/>
    <w:uiPriority w:val="9"/>
    <w:semiHidden/>
    <w:rsid w:val="00FC693F"/>
    <w:rPr>
      <w:rFonts w:asciiTheme="majorHAnsi" w:eastAsiaTheme="majorEastAsia" w:hAnsiTheme="majorHAnsi" w:cstheme="majorBidi"/>
      <w:color w:val="243F60" w:themeColor="accent1" w:themeShade="7F"/>
    </w:rPr>
  </w:style>
  <w:style w:type="character" w:customStyle="1" w:styleId="u6Char">
    <w:name w:val="Đầu đề 6 Char"/>
    <w:basedOn w:val="Phngmcinhcuaoanvn"/>
    <w:link w:val="u6"/>
    <w:uiPriority w:val="9"/>
    <w:semiHidden/>
    <w:rsid w:val="00FC693F"/>
    <w:rPr>
      <w:rFonts w:asciiTheme="majorHAnsi" w:eastAsiaTheme="majorEastAsia" w:hAnsiTheme="majorHAnsi" w:cstheme="majorBidi"/>
      <w:i/>
      <w:iCs/>
      <w:color w:val="243F60" w:themeColor="accent1" w:themeShade="7F"/>
    </w:rPr>
  </w:style>
  <w:style w:type="character" w:customStyle="1" w:styleId="u7Char">
    <w:name w:val="Đầu đề 7 Char"/>
    <w:basedOn w:val="Phngmcinhcuaoanvn"/>
    <w:link w:val="u7"/>
    <w:uiPriority w:val="9"/>
    <w:semiHidden/>
    <w:rsid w:val="00FC693F"/>
    <w:rPr>
      <w:rFonts w:asciiTheme="majorHAnsi" w:eastAsiaTheme="majorEastAsia" w:hAnsiTheme="majorHAnsi" w:cstheme="majorBidi"/>
      <w:i/>
      <w:iCs/>
      <w:color w:val="404040" w:themeColor="text1" w:themeTint="BF"/>
    </w:rPr>
  </w:style>
  <w:style w:type="character" w:customStyle="1" w:styleId="u8Char">
    <w:name w:val="Đầu đề 8 Char"/>
    <w:basedOn w:val="Phngmcinhcuaoanvn"/>
    <w:link w:val="u8"/>
    <w:uiPriority w:val="9"/>
    <w:semiHidden/>
    <w:rsid w:val="00FC693F"/>
    <w:rPr>
      <w:rFonts w:asciiTheme="majorHAnsi" w:eastAsiaTheme="majorEastAsia" w:hAnsiTheme="majorHAnsi" w:cstheme="majorBidi"/>
      <w:color w:val="4F81BD" w:themeColor="accent1"/>
      <w:sz w:val="20"/>
      <w:szCs w:val="20"/>
    </w:rPr>
  </w:style>
  <w:style w:type="character" w:customStyle="1" w:styleId="u9Char">
    <w:name w:val="Đầu đề 9 Char"/>
    <w:basedOn w:val="Phngmcinhcuaoanvn"/>
    <w:link w:val="u9"/>
    <w:uiPriority w:val="9"/>
    <w:semiHidden/>
    <w:rsid w:val="00FC693F"/>
    <w:rPr>
      <w:rFonts w:asciiTheme="majorHAnsi" w:eastAsiaTheme="majorEastAsia" w:hAnsiTheme="majorHAnsi" w:cstheme="majorBidi"/>
      <w:i/>
      <w:iCs/>
      <w:color w:val="404040" w:themeColor="text1" w:themeTint="BF"/>
      <w:sz w:val="20"/>
      <w:szCs w:val="20"/>
    </w:rPr>
  </w:style>
  <w:style w:type="paragraph" w:styleId="Chuthich">
    <w:name w:val="caption"/>
    <w:basedOn w:val="Binhthng"/>
    <w:next w:val="Binhthng"/>
    <w:uiPriority w:val="35"/>
    <w:semiHidden/>
    <w:unhideWhenUsed/>
    <w:qFormat/>
    <w:rsid w:val="00FC693F"/>
    <w:rPr>
      <w:b/>
      <w:bCs/>
      <w:color w:val="4F81BD" w:themeColor="accent1"/>
      <w:sz w:val="18"/>
      <w:szCs w:val="18"/>
    </w:rPr>
  </w:style>
  <w:style w:type="character" w:styleId="Manh">
    <w:name w:val="Strong"/>
    <w:basedOn w:val="Phngmcinhcuaoanvn"/>
    <w:uiPriority w:val="22"/>
    <w:qFormat/>
    <w:rsid w:val="00FC693F"/>
    <w:rPr>
      <w:b/>
      <w:bCs/>
    </w:rPr>
  </w:style>
  <w:style w:type="character" w:styleId="Nhnmanh">
    <w:name w:val="Emphasis"/>
    <w:basedOn w:val="Phngmcinhcuaoanvn"/>
    <w:uiPriority w:val="20"/>
    <w:qFormat/>
    <w:rsid w:val="00FC693F"/>
    <w:rPr>
      <w:i/>
      <w:iCs/>
    </w:rPr>
  </w:style>
  <w:style w:type="paragraph" w:styleId="Nhaykepm">
    <w:name w:val="Intense Quote"/>
    <w:basedOn w:val="Binhthng"/>
    <w:next w:val="Binhthng"/>
    <w:link w:val="Nhaykepm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haykepmChar">
    <w:name w:val="Nháy kép Đậm Char"/>
    <w:basedOn w:val="Phngmcinhcuaoanvn"/>
    <w:link w:val="Nhaykepm"/>
    <w:uiPriority w:val="30"/>
    <w:rsid w:val="00FC693F"/>
    <w:rPr>
      <w:b/>
      <w:bCs/>
      <w:i/>
      <w:iCs/>
      <w:color w:val="4F81BD" w:themeColor="accent1"/>
    </w:rPr>
  </w:style>
  <w:style w:type="character" w:styleId="NhnmanhTinht">
    <w:name w:val="Subtle Emphasis"/>
    <w:basedOn w:val="Phngmcinhcuaoanvn"/>
    <w:uiPriority w:val="19"/>
    <w:qFormat/>
    <w:rsid w:val="00FC693F"/>
    <w:rPr>
      <w:i/>
      <w:iCs/>
      <w:color w:val="808080" w:themeColor="text1" w:themeTint="7F"/>
    </w:rPr>
  </w:style>
  <w:style w:type="character" w:styleId="NhnmnhThm">
    <w:name w:val="Intense Emphasis"/>
    <w:basedOn w:val="Phngmcinhcuaoanvn"/>
    <w:uiPriority w:val="21"/>
    <w:qFormat/>
    <w:rsid w:val="00FC693F"/>
    <w:rPr>
      <w:b/>
      <w:bCs/>
      <w:i/>
      <w:iCs/>
      <w:color w:val="4F81BD" w:themeColor="accent1"/>
    </w:rPr>
  </w:style>
  <w:style w:type="character" w:styleId="ThamchiuTinht">
    <w:name w:val="Subtle Reference"/>
    <w:basedOn w:val="Phngmcinhcuaoanvn"/>
    <w:uiPriority w:val="31"/>
    <w:qFormat/>
    <w:rsid w:val="00FC693F"/>
    <w:rPr>
      <w:smallCaps/>
      <w:color w:val="C0504D" w:themeColor="accent2"/>
      <w:u w:val="single"/>
    </w:rPr>
  </w:style>
  <w:style w:type="character" w:styleId="ThamchiuNhnmnh">
    <w:name w:val="Intense Reference"/>
    <w:basedOn w:val="Phngmcinhcuaoanvn"/>
    <w:uiPriority w:val="32"/>
    <w:qFormat/>
    <w:rsid w:val="00FC693F"/>
    <w:rPr>
      <w:b/>
      <w:bCs/>
      <w:smallCaps/>
      <w:color w:val="C0504D" w:themeColor="accent2"/>
      <w:spacing w:val="5"/>
      <w:u w:val="single"/>
    </w:rPr>
  </w:style>
  <w:style w:type="character" w:styleId="TiuSach">
    <w:name w:val="Book Title"/>
    <w:basedOn w:val="Phngmcinhcuaoanvn"/>
    <w:uiPriority w:val="33"/>
    <w:qFormat/>
    <w:rsid w:val="00FC693F"/>
    <w:rPr>
      <w:b/>
      <w:bCs/>
      <w:smallCaps/>
      <w:spacing w:val="5"/>
    </w:rPr>
  </w:style>
  <w:style w:type="paragraph" w:styleId="uMucluc">
    <w:name w:val="TOC Heading"/>
    <w:basedOn w:val="u1"/>
    <w:next w:val="Binhthng"/>
    <w:uiPriority w:val="39"/>
    <w:semiHidden/>
    <w:unhideWhenUsed/>
    <w:qFormat/>
    <w:rsid w:val="00FC693F"/>
    <w:pPr>
      <w:outlineLvl w:val="9"/>
    </w:pPr>
  </w:style>
  <w:style w:type="table" w:styleId="LiBang">
    <w:name w:val="Table Grid"/>
    <w:basedOn w:val="BangThngthng"/>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nnMausang">
    <w:name w:val="Light Shading"/>
    <w:basedOn w:val="BangThngthng"/>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nnMausang-Nhnmanh1">
    <w:name w:val="Light Shading Accent 1"/>
    <w:basedOn w:val="BangThngthng"/>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nnMausang-Nhnmanh2">
    <w:name w:val="Light Shading Accent 2"/>
    <w:basedOn w:val="BangThngthng"/>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nnMausang-Nhnmanh3">
    <w:name w:val="Light Shading Accent 3"/>
    <w:basedOn w:val="BangThngthng"/>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nnMausang-Nhnmanh4">
    <w:name w:val="Light Shading Accent 4"/>
    <w:basedOn w:val="BangThngthng"/>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nnMausang-Nhnmanh5">
    <w:name w:val="Light Shading Accent 5"/>
    <w:basedOn w:val="BangThngthng"/>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nnMausang-Nhnmanh6">
    <w:name w:val="Light Shading Accent 6"/>
    <w:basedOn w:val="BangThngthng"/>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DanhsachMausang">
    <w:name w:val="Light List"/>
    <w:basedOn w:val="BangThngthng"/>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DanhsachMausang-Nhnmanh1">
    <w:name w:val="Light List Accent 1"/>
    <w:basedOn w:val="BangThngthng"/>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DanhsachMausang-Nhnmanh2">
    <w:name w:val="Light List Accent 2"/>
    <w:basedOn w:val="BangThngthng"/>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DanhsachMausang-Nhnmanh3">
    <w:name w:val="Light List Accent 3"/>
    <w:basedOn w:val="BangThngthng"/>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DanhsachMausang-Nhnmanh4">
    <w:name w:val="Light List Accent 4"/>
    <w:basedOn w:val="BangThngthng"/>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DanhsachMausang-Nhnmanh5">
    <w:name w:val="Light List Accent 5"/>
    <w:basedOn w:val="BangThngthng"/>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DanhsachMausang-Nhnmanh6">
    <w:name w:val="Light List Accent 6"/>
    <w:basedOn w:val="BangThngthng"/>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Mausang">
    <w:name w:val="Light Grid"/>
    <w:basedOn w:val="BangThngthng"/>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Mausang-Nhnmanh1">
    <w:name w:val="Light Grid Accent 1"/>
    <w:basedOn w:val="BangThngthng"/>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Mausang-Nhnmanh2">
    <w:name w:val="Light Grid Accent 2"/>
    <w:basedOn w:val="BangThngthng"/>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Mausang-Nhnmanh3">
    <w:name w:val="Light Grid Accent 3"/>
    <w:basedOn w:val="BangThngthng"/>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Mausang-Nhnmanh4">
    <w:name w:val="Light Grid Accent 4"/>
    <w:basedOn w:val="BangThngthng"/>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Mausang-Nhnmanh5">
    <w:name w:val="Light Grid Accent 5"/>
    <w:basedOn w:val="BangThngthng"/>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Mausang-Nhnmanh6">
    <w:name w:val="Light Grid Accent 6"/>
    <w:basedOn w:val="BangThngthng"/>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nnVa1">
    <w:name w:val="Medium Shading 1"/>
    <w:basedOn w:val="BangThngthng"/>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nnVa1-Nhnmanh1">
    <w:name w:val="Medium Shading 1 Accent 1"/>
    <w:basedOn w:val="BangThngthng"/>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nnVa1-Nhnmanh2">
    <w:name w:val="Medium Shading 1 Accent 2"/>
    <w:basedOn w:val="BangThngthng"/>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nnVa1-Nhnmanh3">
    <w:name w:val="Medium Shading 1 Accent 3"/>
    <w:basedOn w:val="BangThngthng"/>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nnVa1-Nhnmanh4">
    <w:name w:val="Medium Shading 1 Accent 4"/>
    <w:basedOn w:val="BangThngthng"/>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nnVa1-Nhnmanh5">
    <w:name w:val="Medium Shading 1 Accent 5"/>
    <w:basedOn w:val="BangThngthng"/>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nnVa1-Nhnmanh6">
    <w:name w:val="Medium Shading 1 Accent 6"/>
    <w:basedOn w:val="BangThngthng"/>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nnVa2">
    <w:name w:val="Medium Shading 2"/>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1">
    <w:name w:val="Medium Shading 2 Accent 1"/>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2">
    <w:name w:val="Medium Shading 2 Accent 2"/>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3">
    <w:name w:val="Medium Shading 2 Accent 3"/>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4">
    <w:name w:val="Medium Shading 2 Accent 4"/>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5">
    <w:name w:val="Medium Shading 2 Accent 5"/>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nnVa2-Nhnmanh6">
    <w:name w:val="Medium Shading 2 Accent 6"/>
    <w:basedOn w:val="BangThngthng"/>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nhsachVa1">
    <w:name w:val="Medium List 1"/>
    <w:basedOn w:val="BangThngthng"/>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DanhsachVa1-Nhnmanh1">
    <w:name w:val="Medium List 1 Accent 1"/>
    <w:basedOn w:val="BangThngthng"/>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DanhsachVa1-Nhnmanh2">
    <w:name w:val="Medium List 1 Accent 2"/>
    <w:basedOn w:val="BangThngthng"/>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DanhsachVa1-Nhnmanh3">
    <w:name w:val="Medium List 1 Accent 3"/>
    <w:basedOn w:val="BangThngthng"/>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DanhsachVa1-Nhnmanh4">
    <w:name w:val="Medium List 1 Accent 4"/>
    <w:basedOn w:val="BangThngthng"/>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DanhsachVa1-Nhnmanh5">
    <w:name w:val="Medium List 1 Accent 5"/>
    <w:basedOn w:val="BangThngthng"/>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DanhsachVa1-Nhnmanh6">
    <w:name w:val="Medium List 1 Accent 6"/>
    <w:basedOn w:val="BangThngthng"/>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DanhsachVa2">
    <w:name w:val="Medium List 2"/>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1">
    <w:name w:val="Medium List 2 Accent 1"/>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2">
    <w:name w:val="Medium List 2 Accent 2"/>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3">
    <w:name w:val="Medium List 2 Accent 3"/>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4">
    <w:name w:val="Medium List 2 Accent 4"/>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5">
    <w:name w:val="Medium List 2 Accent 5"/>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DanhsachVa2-Nhnmanh6">
    <w:name w:val="Medium List 2 Accent 6"/>
    <w:basedOn w:val="BangThngthng"/>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LiVa1">
    <w:name w:val="Medium Grid 1"/>
    <w:basedOn w:val="BangThngthng"/>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Va1-Nhnmanh1">
    <w:name w:val="Medium Grid 1 Accent 1"/>
    <w:basedOn w:val="BangThngthng"/>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Va1-Nhnmanh2">
    <w:name w:val="Medium Grid 1 Accent 2"/>
    <w:basedOn w:val="BangThngthng"/>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iVa1-Nhnmanh3">
    <w:name w:val="Medium Grid 1 Accent 3"/>
    <w:basedOn w:val="BangThngthng"/>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iVa1-Nhnmanh4">
    <w:name w:val="Medium Grid 1 Accent 4"/>
    <w:basedOn w:val="BangThngthng"/>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Va1-Nhnmanh5">
    <w:name w:val="Medium Grid 1 Accent 5"/>
    <w:basedOn w:val="BangThngthng"/>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iVa1-Nhnmanh6">
    <w:name w:val="Medium Grid 1 Accent 6"/>
    <w:basedOn w:val="BangThngthng"/>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Va2">
    <w:name w:val="Medium Grid 2"/>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LiVa2-Nhnmanh1">
    <w:name w:val="Medium Grid 2 Accent 1"/>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LiVa2-Nhnmanh2">
    <w:name w:val="Medium Grid 2 Accent 2"/>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LiVa2-Nhnmanh3">
    <w:name w:val="Medium Grid 2 Accent 3"/>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LiVa2-Nhnmanh4">
    <w:name w:val="Medium Grid 2 Accent 4"/>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LiVa2-Nhnmanh5">
    <w:name w:val="Medium Grid 2 Accent 5"/>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LiVa2-Nhnmanh6">
    <w:name w:val="Medium Grid 2 Accent 6"/>
    <w:basedOn w:val="BangThngthng"/>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LiVa3">
    <w:name w:val="Medium Grid 3"/>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LiVa3-Nhnmanh1">
    <w:name w:val="Medium Grid 3 Accent 1"/>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LiVa3-Nhnmanh2">
    <w:name w:val="Medium Grid 3 Accent 2"/>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LiVa3-Nhnmanh3">
    <w:name w:val="Medium Grid 3 Accent 3"/>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LiVa3-Nhnmanh4">
    <w:name w:val="Medium Grid 3 Accent 4"/>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LiVa3-Nhnmanh5">
    <w:name w:val="Medium Grid 3 Accent 5"/>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LiVa3-Nhnmanh6">
    <w:name w:val="Medium Grid 3 Accent 6"/>
    <w:basedOn w:val="BangThngthng"/>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nhsachSm">
    <w:name w:val="Dark List"/>
    <w:basedOn w:val="BangThngthng"/>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nhsachSm-Nhnmanh1">
    <w:name w:val="Dark List Accent 1"/>
    <w:basedOn w:val="BangThngthng"/>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nhsachSm-Nhnmanh2">
    <w:name w:val="Dark List Accent 2"/>
    <w:basedOn w:val="BangThngthng"/>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nhsachSm-Nhnmanh3">
    <w:name w:val="Dark List Accent 3"/>
    <w:basedOn w:val="BangThngthng"/>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nhsachSm-Nhnmanh4">
    <w:name w:val="Dark List Accent 4"/>
    <w:basedOn w:val="BangThngthng"/>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nhsachSm-Nhnmanh5">
    <w:name w:val="Dark List Accent 5"/>
    <w:basedOn w:val="BangThngthng"/>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nhsachSm-Nhnmanh6">
    <w:name w:val="Dark List Accent 6"/>
    <w:basedOn w:val="BangThngthng"/>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nnScs">
    <w:name w:val="Colorful Shading"/>
    <w:basedOn w:val="BangThngthng"/>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nnScs-Nhnmanh1">
    <w:name w:val="Colorful Shading Accent 1"/>
    <w:basedOn w:val="BangThngthng"/>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nnScs-Nhnmanh2">
    <w:name w:val="Colorful Shading Accent 2"/>
    <w:basedOn w:val="BangThngthng"/>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nnScs-Nhnmanh3">
    <w:name w:val="Colorful Shading Accent 3"/>
    <w:basedOn w:val="BangThngthng"/>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nnScs-Nhnmanh4">
    <w:name w:val="Colorful Shading Accent 4"/>
    <w:basedOn w:val="BangThngthng"/>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nnScs-Nhnmanh5">
    <w:name w:val="Colorful Shading Accent 5"/>
    <w:basedOn w:val="BangThngthng"/>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nnScs-Nhnmanh6">
    <w:name w:val="Colorful Shading Accent 6"/>
    <w:basedOn w:val="BangThngthng"/>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nhsachScs">
    <w:name w:val="Colorful List"/>
    <w:basedOn w:val="BangThngthng"/>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DanhsachScs-Nhnmanh1">
    <w:name w:val="Colorful List Accent 1"/>
    <w:basedOn w:val="BangThngthng"/>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DanhsachScs-Nhnmanh2">
    <w:name w:val="Colorful List Accent 2"/>
    <w:basedOn w:val="BangThngthng"/>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DanhsachScs-Nhnmanh3">
    <w:name w:val="Colorful List Accent 3"/>
    <w:basedOn w:val="BangThngthng"/>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DanhsachScs-Nhnmanh4">
    <w:name w:val="Colorful List Accent 4"/>
    <w:basedOn w:val="BangThngthng"/>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DanhsachScs-Nhnmanh5">
    <w:name w:val="Colorful List Accent 5"/>
    <w:basedOn w:val="BangThngthng"/>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DanhsachScs-Nhnmanh6">
    <w:name w:val="Colorful List Accent 6"/>
    <w:basedOn w:val="BangThngthng"/>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LiScs">
    <w:name w:val="Colorful Grid"/>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LiScs-Nhnmanh1">
    <w:name w:val="Colorful Grid Accent 1"/>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Scs-Nhnmanh2">
    <w:name w:val="Colorful Grid Accent 2"/>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LiScs-Nhnmanh3">
    <w:name w:val="Colorful Grid Accent 3"/>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iScs-Nhnmanh4">
    <w:name w:val="Colorful Grid Accent 4"/>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LiScs-Nhnmanh5">
    <w:name w:val="Colorful Grid Accent 5"/>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LiScs-Nhnmanh6">
    <w:name w:val="Colorful Grid Accent 6"/>
    <w:basedOn w:val="BangThngthng"/>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VnbanCcchu">
    <w:name w:val="footnote text"/>
    <w:basedOn w:val="Binhthng"/>
    <w:link w:val="VnbanCcchuChar"/>
    <w:uiPriority w:val="99"/>
    <w:semiHidden/>
    <w:unhideWhenUsed/>
    <w:rsid w:val="00BB2C6D"/>
    <w:rPr>
      <w:sz w:val="20"/>
      <w:szCs w:val="20"/>
    </w:rPr>
  </w:style>
  <w:style w:type="character" w:customStyle="1" w:styleId="VnbanCcchuChar">
    <w:name w:val="Văn bản Cước chú Char"/>
    <w:basedOn w:val="Phngmcinhcuaoanvn"/>
    <w:link w:val="VnbanCcchu"/>
    <w:uiPriority w:val="99"/>
    <w:semiHidden/>
    <w:rsid w:val="00BB2C6D"/>
    <w:rPr>
      <w:rFonts w:ascii="Times New Roman" w:eastAsia="Times New Roman" w:hAnsi="Times New Roman"/>
      <w:sz w:val="20"/>
      <w:szCs w:val="20"/>
    </w:rPr>
  </w:style>
  <w:style w:type="character" w:styleId="ThamchiuCcchu">
    <w:name w:val="footnote reference"/>
    <w:basedOn w:val="Phngmcinhcuaoanvn"/>
    <w:uiPriority w:val="99"/>
    <w:semiHidden/>
    <w:unhideWhenUsed/>
    <w:rsid w:val="00BB2C6D"/>
    <w:rPr>
      <w:vertAlign w:val="superscript"/>
    </w:rPr>
  </w:style>
  <w:style w:type="paragraph" w:styleId="ThngthngWeb">
    <w:name w:val="Normal (Web)"/>
    <w:basedOn w:val="Binhthng"/>
    <w:uiPriority w:val="99"/>
    <w:semiHidden/>
    <w:unhideWhenUsed/>
    <w:rsid w:val="008F0AE8"/>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99D45-8066-421F-BCFB-1D4349AAB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1</Pages>
  <Words>3211</Words>
  <Characters>18305</Characters>
  <Application>Microsoft Office Word</Application>
  <DocSecurity>0</DocSecurity>
  <Lines>152</Lines>
  <Paragraphs>42</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21474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Tuan Hung Nong</cp:lastModifiedBy>
  <cp:revision>10</cp:revision>
  <dcterms:created xsi:type="dcterms:W3CDTF">2013-12-23T23:15:00Z</dcterms:created>
  <dcterms:modified xsi:type="dcterms:W3CDTF">2026-10-28T11:54:00Z</dcterms:modified>
  <cp:category/>
</cp:coreProperties>
</file>